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056FB2">
        <w:rPr>
          <w:lang w:val="en-US"/>
        </w:rPr>
        <w:t>79</w:t>
      </w:r>
      <w:r w:rsidRPr="00F6302A">
        <w:rPr>
          <w:lang w:val="en-US"/>
        </w:rPr>
        <w:tab/>
      </w:r>
      <w:r w:rsidR="00DE761A">
        <w:rPr>
          <w:sz w:val="32"/>
          <w:szCs w:val="32"/>
          <w:lang w:val="en-US"/>
        </w:rPr>
        <w:t>R4</w:t>
      </w:r>
      <w:r w:rsidR="00091557" w:rsidRPr="00F6302A">
        <w:rPr>
          <w:sz w:val="32"/>
          <w:szCs w:val="32"/>
          <w:lang w:val="en-US"/>
        </w:rPr>
        <w:t>-</w:t>
      </w:r>
      <w:r w:rsidR="00D92FC5">
        <w:rPr>
          <w:sz w:val="32"/>
          <w:szCs w:val="32"/>
          <w:lang w:val="en-US"/>
        </w:rPr>
        <w:t>164223</w:t>
      </w:r>
    </w:p>
    <w:p w:rsidR="00E90E49" w:rsidRPr="00F6302A" w:rsidRDefault="00056FB2" w:rsidP="00311702">
      <w:pPr>
        <w:pStyle w:val="3GPPHeader"/>
        <w:rPr>
          <w:lang w:val="en-US"/>
        </w:rPr>
      </w:pPr>
      <w:r>
        <w:rPr>
          <w:lang w:val="en-US"/>
        </w:rPr>
        <w:t>Nanjing, China</w:t>
      </w:r>
      <w:r w:rsidR="0027144F" w:rsidRPr="009106CA">
        <w:rPr>
          <w:lang w:val="en-US"/>
        </w:rPr>
        <w:t xml:space="preserve">, </w:t>
      </w:r>
      <w:r w:rsidR="00283337">
        <w:rPr>
          <w:lang w:val="en-US"/>
        </w:rPr>
        <w:t>23</w:t>
      </w:r>
      <w:r w:rsidR="0027144F" w:rsidRPr="009106CA">
        <w:rPr>
          <w:lang w:val="en-US"/>
        </w:rPr>
        <w:t xml:space="preserve">th – </w:t>
      </w:r>
      <w:r w:rsidR="00283337">
        <w:rPr>
          <w:lang w:val="en-US"/>
        </w:rPr>
        <w:t>27</w:t>
      </w:r>
      <w:r w:rsidR="0027144F" w:rsidRPr="009106CA">
        <w:rPr>
          <w:lang w:val="en-US"/>
        </w:rPr>
        <w:t xml:space="preserve">th </w:t>
      </w:r>
      <w:r w:rsidR="00283337">
        <w:rPr>
          <w:lang w:val="en-US"/>
        </w:rPr>
        <w:t>May</w:t>
      </w:r>
      <w:r w:rsidR="0027144F" w:rsidRPr="009106CA">
        <w:rPr>
          <w:lang w:val="en-US"/>
        </w:rPr>
        <w:t xml:space="preserve"> 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E90203" w:rsidRPr="00E90203">
        <w:rPr>
          <w:sz w:val="22"/>
          <w:szCs w:val="22"/>
          <w:lang w:val="en-US"/>
        </w:rPr>
        <w:t>UE RF</w:t>
      </w:r>
      <w:r w:rsidR="00E90203">
        <w:rPr>
          <w:sz w:val="22"/>
          <w:szCs w:val="22"/>
          <w:lang w:val="en-US"/>
        </w:rPr>
        <w:t xml:space="preserve"> issues related to </w:t>
      </w:r>
      <w:r w:rsidR="00253E53" w:rsidRPr="00253E53">
        <w:rPr>
          <w:sz w:val="22"/>
          <w:szCs w:val="22"/>
          <w:lang w:val="en-US"/>
        </w:rPr>
        <w:t xml:space="preserve">SRS </w:t>
      </w:r>
      <w:r w:rsidR="00253E53">
        <w:rPr>
          <w:sz w:val="22"/>
          <w:szCs w:val="22"/>
          <w:lang w:val="en-US"/>
        </w:rPr>
        <w:t xml:space="preserve">carrier based </w:t>
      </w:r>
      <w:r w:rsidR="00253E53" w:rsidRPr="00253E53">
        <w:rPr>
          <w:sz w:val="22"/>
          <w:szCs w:val="22"/>
          <w:lang w:val="en-US"/>
        </w:rPr>
        <w:t>switching</w:t>
      </w:r>
      <w:r w:rsidR="00253E53">
        <w:rPr>
          <w:sz w:val="22"/>
          <w:szCs w:val="22"/>
          <w:lang w:val="en-US"/>
        </w:rPr>
        <w:t xml:space="preserve"> for LTE</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954152">
        <w:rPr>
          <w:sz w:val="22"/>
          <w:szCs w:val="22"/>
          <w:lang w:val="en-US"/>
        </w:rPr>
        <w:t>7</w:t>
      </w:r>
      <w:r w:rsidRPr="00787677">
        <w:rPr>
          <w:sz w:val="22"/>
          <w:szCs w:val="22"/>
          <w:lang w:val="en-US"/>
        </w:rPr>
        <w:t>.</w:t>
      </w:r>
      <w:r w:rsidR="00954152">
        <w:rPr>
          <w:sz w:val="22"/>
          <w:szCs w:val="22"/>
          <w:lang w:val="en-US"/>
        </w:rPr>
        <w:t>17</w:t>
      </w:r>
      <w:r w:rsidR="006466D1" w:rsidRPr="00787677">
        <w:rPr>
          <w:sz w:val="22"/>
          <w:szCs w:val="22"/>
          <w:lang w:val="en-US"/>
        </w:rPr>
        <w:t>.</w:t>
      </w:r>
      <w:r w:rsidR="00954152">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BA24A1">
        <w:rPr>
          <w:sz w:val="22"/>
          <w:szCs w:val="22"/>
          <w:lang w:val="en-US"/>
        </w:rPr>
        <w:t>Discussion</w:t>
      </w:r>
    </w:p>
    <w:p w:rsidR="00E90E49" w:rsidRPr="00F6302A" w:rsidRDefault="00E90E49" w:rsidP="00E90E49">
      <w:pPr>
        <w:pStyle w:val="Heading1"/>
        <w:rPr>
          <w:lang w:val="en-US"/>
        </w:rPr>
      </w:pPr>
      <w:r w:rsidRPr="00F6302A">
        <w:rPr>
          <w:lang w:val="en-US"/>
        </w:rPr>
        <w:t>Introduction</w:t>
      </w:r>
    </w:p>
    <w:p w:rsidR="00253E53" w:rsidRDefault="00EC3CD9" w:rsidP="00253E53">
      <w:pPr>
        <w:pStyle w:val="BodyText"/>
        <w:rPr>
          <w:rFonts w:cs="Arial"/>
          <w:sz w:val="22"/>
          <w:szCs w:val="22"/>
          <w:lang w:val="en-US"/>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The objectives of the core part of the WI include the following:</w:t>
      </w:r>
    </w:p>
    <w:p w:rsidR="00253E53" w:rsidRPr="00B02C00" w:rsidRDefault="00253E53" w:rsidP="00253E53">
      <w:pPr>
        <w:spacing w:line="276" w:lineRule="auto"/>
        <w:contextualSpacing/>
        <w:rPr>
          <w:i/>
          <w:lang w:eastAsia="en-GB"/>
        </w:rPr>
      </w:pPr>
      <w:bookmarkStart w:id="0" w:name="OLE_LINK7"/>
      <w:r w:rsidRPr="00B02C00">
        <w:rPr>
          <w:i/>
          <w:lang w:eastAsia="en-GB"/>
        </w:rPr>
        <w:t>The WI is to specify enhancements for networks</w:t>
      </w:r>
      <w:r w:rsidRPr="00B02C00">
        <w:rPr>
          <w:rFonts w:hint="eastAsia"/>
          <w:i/>
          <w:lang w:eastAsia="en-GB"/>
        </w:rPr>
        <w:t xml:space="preserve"> </w:t>
      </w:r>
      <w:r w:rsidRPr="00B02C00">
        <w:rPr>
          <w:i/>
          <w:lang w:eastAsia="en-GB"/>
        </w:rPr>
        <w:t>operating with CA. The objectives of the WI are:</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 xml:space="preserve">To support SRS switching to and between TDD </w:t>
      </w:r>
      <w:bookmarkStart w:id="1" w:name="OLE_LINK10"/>
      <w:r w:rsidRPr="00B02C00">
        <w:rPr>
          <w:i/>
          <w:lang w:eastAsia="en-GB"/>
        </w:rPr>
        <w:t xml:space="preserve">component </w:t>
      </w:r>
      <w:bookmarkEnd w:id="1"/>
      <w:r w:rsidRPr="00B02C00">
        <w:rPr>
          <w:i/>
          <w:lang w:eastAsia="en-GB"/>
        </w:rPr>
        <w:t xml:space="preserve">carrier(s), </w:t>
      </w:r>
      <w:r w:rsidRPr="00B02C00">
        <w:rPr>
          <w:i/>
        </w:rPr>
        <w:t>where the component carriers available for SRS transmission correspond to the component carriers available for carrier aggregation of PDSCH, while the UE has fewer component carriers available for carrier aggregation of PUSCH</w:t>
      </w:r>
      <w:r w:rsidRPr="00B02C00">
        <w:rPr>
          <w:i/>
          <w:lang w:eastAsia="en-GB"/>
        </w:rPr>
        <w:t xml:space="preserve"> [RAN1, RAN2, </w:t>
      </w:r>
      <w:r w:rsidRPr="00B02C00">
        <w:rPr>
          <w:rFonts w:hint="eastAsia"/>
          <w:i/>
          <w:lang w:eastAsia="en-GB"/>
        </w:rPr>
        <w:t>RAN4</w:t>
      </w:r>
      <w:r w:rsidRPr="00B02C00">
        <w:rPr>
          <w:i/>
          <w:lang w:eastAsia="en-GB"/>
        </w:rPr>
        <w:t>]</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C</w:t>
      </w:r>
      <w:r w:rsidRPr="00B02C00">
        <w:rPr>
          <w:rFonts w:hint="eastAsia"/>
          <w:i/>
          <w:lang w:eastAsia="en-GB"/>
        </w:rPr>
        <w:t xml:space="preserve">orresponding </w:t>
      </w:r>
      <w:r w:rsidRPr="00B02C00">
        <w:rPr>
          <w:i/>
          <w:lang w:eastAsia="en-GB"/>
        </w:rPr>
        <w:t xml:space="preserve">UE and </w:t>
      </w:r>
      <w:proofErr w:type="spellStart"/>
      <w:r w:rsidRPr="00B02C00">
        <w:rPr>
          <w:i/>
          <w:lang w:eastAsia="en-GB"/>
        </w:rPr>
        <w:t>eNB</w:t>
      </w:r>
      <w:proofErr w:type="spellEnd"/>
      <w:r w:rsidRPr="00B02C00">
        <w:rPr>
          <w:i/>
          <w:lang w:eastAsia="en-GB"/>
        </w:rPr>
        <w:t xml:space="preserve"> core requirements</w:t>
      </w:r>
      <w:r w:rsidRPr="00B02C00">
        <w:rPr>
          <w:rFonts w:hint="eastAsia"/>
          <w:i/>
          <w:lang w:eastAsia="en-GB"/>
        </w:rPr>
        <w:t xml:space="preserve"> </w:t>
      </w:r>
      <w:r w:rsidRPr="00B02C00">
        <w:rPr>
          <w:i/>
          <w:lang w:eastAsia="en-GB"/>
        </w:rPr>
        <w:t>[</w:t>
      </w:r>
      <w:r w:rsidRPr="00B02C00">
        <w:rPr>
          <w:rFonts w:hint="eastAsia"/>
          <w:i/>
          <w:lang w:eastAsia="en-GB"/>
        </w:rPr>
        <w:t>RAN4</w:t>
      </w:r>
      <w:r w:rsidRPr="00B02C00">
        <w:rPr>
          <w:i/>
          <w:lang w:eastAsia="en-GB"/>
        </w:rPr>
        <w:t>]</w:t>
      </w:r>
      <w:r w:rsidRPr="00B02C00">
        <w:rPr>
          <w:rFonts w:hint="eastAsia"/>
          <w:i/>
          <w:lang w:eastAsia="en-GB"/>
        </w:rPr>
        <w:t>.</w:t>
      </w:r>
    </w:p>
    <w:bookmarkEnd w:id="0"/>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based on the above objective, we describe </w:t>
      </w:r>
      <w:r w:rsidR="00F951FE">
        <w:rPr>
          <w:rFonts w:cs="Arial"/>
          <w:bCs/>
          <w:sz w:val="22"/>
          <w:szCs w:val="22"/>
        </w:rPr>
        <w:t xml:space="preserve">UE RF issues related to SRS carrier based switching. </w:t>
      </w:r>
    </w:p>
    <w:p w:rsidR="0096477F" w:rsidRDefault="008E7E2A" w:rsidP="00703346">
      <w:pPr>
        <w:pStyle w:val="Heading1"/>
        <w:rPr>
          <w:lang w:val="en-US"/>
        </w:rPr>
      </w:pPr>
      <w:r>
        <w:rPr>
          <w:lang w:val="en-US"/>
        </w:rPr>
        <w:t>UE RF challenges</w:t>
      </w:r>
      <w:r w:rsidR="008F14D1">
        <w:rPr>
          <w:lang w:val="en-US"/>
        </w:rPr>
        <w:t xml:space="preserve"> </w:t>
      </w:r>
    </w:p>
    <w:p w:rsidR="008E7E2A" w:rsidRDefault="00DD7794" w:rsidP="008E7E2A">
      <w:pPr>
        <w:pStyle w:val="Heading2"/>
        <w:rPr>
          <w:lang w:val="en-US"/>
        </w:rPr>
      </w:pPr>
      <w:r>
        <w:rPr>
          <w:lang w:val="en-US"/>
        </w:rPr>
        <w:t xml:space="preserve">UL </w:t>
      </w:r>
      <w:r w:rsidR="008E7E2A" w:rsidRPr="008E7E2A">
        <w:rPr>
          <w:lang w:val="en-US"/>
        </w:rPr>
        <w:t>P</w:t>
      </w:r>
      <w:r w:rsidR="001E5C2B">
        <w:rPr>
          <w:lang w:val="en-US"/>
        </w:rPr>
        <w:t xml:space="preserve">ower </w:t>
      </w:r>
      <w:r w:rsidR="008E7E2A" w:rsidRPr="008E7E2A">
        <w:rPr>
          <w:lang w:val="en-US"/>
        </w:rPr>
        <w:t>C</w:t>
      </w:r>
      <w:r w:rsidR="001E5C2B">
        <w:rPr>
          <w:lang w:val="en-US"/>
        </w:rPr>
        <w:t>ontrol</w:t>
      </w:r>
      <w:r w:rsidR="008E7E2A" w:rsidRPr="008E7E2A">
        <w:rPr>
          <w:lang w:val="en-US"/>
        </w:rPr>
        <w:t xml:space="preserve"> issues</w:t>
      </w:r>
    </w:p>
    <w:p w:rsidR="00DD7794" w:rsidRPr="00920E42" w:rsidRDefault="00DD7794" w:rsidP="006963E2">
      <w:pPr>
        <w:pStyle w:val="Heading3"/>
      </w:pPr>
      <w:r w:rsidRPr="00920E42">
        <w:t xml:space="preserve">Different power control </w:t>
      </w:r>
      <w:r>
        <w:t xml:space="preserve">parameters </w:t>
      </w:r>
      <w:r w:rsidRPr="00920E42">
        <w:t>for different carriers</w:t>
      </w:r>
    </w:p>
    <w:p w:rsidR="00DD7794" w:rsidRDefault="00DD7794" w:rsidP="006963E2">
      <w:pPr>
        <w:pStyle w:val="BodyText"/>
        <w:ind w:left="576"/>
        <w:rPr>
          <w:rFonts w:cs="Arial"/>
          <w:bCs/>
          <w:sz w:val="22"/>
          <w:szCs w:val="22"/>
        </w:rPr>
      </w:pPr>
      <w:r>
        <w:rPr>
          <w:rFonts w:cs="Arial"/>
          <w:bCs/>
          <w:sz w:val="22"/>
          <w:szCs w:val="22"/>
        </w:rPr>
        <w:t xml:space="preserve">Since a carrier on which SRS carrier based switching is performed can be in a spectrum which is very different than the current spectrum, thus the power control parameters will be very different. </w:t>
      </w:r>
    </w:p>
    <w:p w:rsidR="00DD7794" w:rsidRDefault="00DD7794" w:rsidP="006963E2">
      <w:pPr>
        <w:pStyle w:val="BodyText"/>
        <w:ind w:left="576"/>
        <w:rPr>
          <w:rFonts w:cs="Arial"/>
          <w:bCs/>
          <w:sz w:val="22"/>
          <w:szCs w:val="22"/>
        </w:rPr>
      </w:pPr>
      <w:r>
        <w:rPr>
          <w:rFonts w:cs="Arial"/>
          <w:bCs/>
          <w:sz w:val="22"/>
          <w:szCs w:val="22"/>
        </w:rPr>
        <w:t>Moreover, due to different MPR/A-MPR requirements in different carriers, the final output power levels can be very different. This can create challenges for UL power control adjustments.</w:t>
      </w:r>
    </w:p>
    <w:p w:rsidR="00DD7794" w:rsidRDefault="00365D6E" w:rsidP="006963E2">
      <w:pPr>
        <w:pStyle w:val="Heading3"/>
      </w:pPr>
      <w:r>
        <w:t>UL power control accuracy</w:t>
      </w:r>
    </w:p>
    <w:p w:rsidR="000144B3" w:rsidRDefault="00365D6E" w:rsidP="006963E2">
      <w:pPr>
        <w:pStyle w:val="BodyText"/>
        <w:ind w:left="720"/>
        <w:rPr>
          <w:rFonts w:cs="Arial"/>
          <w:bCs/>
          <w:sz w:val="22"/>
          <w:szCs w:val="22"/>
        </w:rPr>
      </w:pPr>
      <w:r>
        <w:rPr>
          <w:rFonts w:cs="Arial"/>
          <w:bCs/>
          <w:sz w:val="22"/>
          <w:szCs w:val="22"/>
        </w:rPr>
        <w:t xml:space="preserve">As we have shown in our companion contribution </w:t>
      </w:r>
      <w:r>
        <w:rPr>
          <w:rFonts w:cs="Arial"/>
          <w:bCs/>
          <w:sz w:val="22"/>
          <w:szCs w:val="22"/>
        </w:rPr>
        <w:fldChar w:fldCharType="begin"/>
      </w:r>
      <w:r>
        <w:rPr>
          <w:rFonts w:cs="Arial"/>
          <w:bCs/>
          <w:sz w:val="22"/>
          <w:szCs w:val="22"/>
        </w:rPr>
        <w:instrText xml:space="preserve"> REF _Ref450844166 \r \h </w:instrText>
      </w:r>
      <w:r>
        <w:rPr>
          <w:rFonts w:cs="Arial"/>
          <w:bCs/>
          <w:sz w:val="22"/>
          <w:szCs w:val="22"/>
        </w:rPr>
      </w:r>
      <w:r>
        <w:rPr>
          <w:rFonts w:cs="Arial"/>
          <w:bCs/>
          <w:sz w:val="22"/>
          <w:szCs w:val="22"/>
        </w:rPr>
        <w:fldChar w:fldCharType="separate"/>
      </w:r>
      <w:r>
        <w:rPr>
          <w:rFonts w:cs="Arial"/>
          <w:bCs/>
          <w:sz w:val="22"/>
          <w:szCs w:val="22"/>
        </w:rPr>
        <w:t>[2]</w:t>
      </w:r>
      <w:r>
        <w:rPr>
          <w:rFonts w:cs="Arial"/>
          <w:bCs/>
          <w:sz w:val="22"/>
          <w:szCs w:val="22"/>
        </w:rPr>
        <w:fldChar w:fldCharType="end"/>
      </w:r>
      <w:r>
        <w:rPr>
          <w:rFonts w:cs="Arial"/>
          <w:bCs/>
          <w:sz w:val="22"/>
          <w:szCs w:val="22"/>
        </w:rPr>
        <w:t xml:space="preserve">, we can have a scenario where SRS carrier based switching can be performed on up to 4 carriers considering Rel-14 CA combinations. </w:t>
      </w:r>
      <w:r w:rsidR="000144B3">
        <w:rPr>
          <w:rFonts w:cs="Arial"/>
          <w:bCs/>
          <w:sz w:val="22"/>
          <w:szCs w:val="22"/>
        </w:rPr>
        <w:t xml:space="preserve">In this case, the SRS carrier based switching may need to be done quite frequently. </w:t>
      </w:r>
    </w:p>
    <w:p w:rsidR="000144B3" w:rsidRPr="006963E2" w:rsidRDefault="000144B3" w:rsidP="006963E2">
      <w:pPr>
        <w:pStyle w:val="BodyText"/>
        <w:ind w:left="720"/>
        <w:rPr>
          <w:rFonts w:cs="Arial"/>
          <w:bCs/>
          <w:sz w:val="22"/>
          <w:szCs w:val="22"/>
          <w:lang w:val="en-US"/>
        </w:rPr>
      </w:pPr>
      <w:r>
        <w:rPr>
          <w:rFonts w:cs="Arial"/>
          <w:bCs/>
          <w:sz w:val="22"/>
          <w:szCs w:val="22"/>
        </w:rPr>
        <w:t xml:space="preserve">There is an additional UE power control tolerance issue which is described here. </w:t>
      </w:r>
      <w:r w:rsidRPr="000144B3">
        <w:rPr>
          <w:rFonts w:cs="Arial"/>
          <w:bCs/>
          <w:sz w:val="22"/>
          <w:szCs w:val="22"/>
        </w:rPr>
        <w:t xml:space="preserve">In </w:t>
      </w:r>
      <w:r>
        <w:rPr>
          <w:rFonts w:cs="Arial"/>
          <w:bCs/>
          <w:sz w:val="22"/>
          <w:szCs w:val="22"/>
        </w:rPr>
        <w:fldChar w:fldCharType="begin"/>
      </w:r>
      <w:r>
        <w:rPr>
          <w:rFonts w:cs="Arial"/>
          <w:bCs/>
          <w:sz w:val="22"/>
          <w:szCs w:val="22"/>
        </w:rPr>
        <w:instrText xml:space="preserve"> REF _Ref450844429 \r \h </w:instrText>
      </w:r>
      <w:r>
        <w:rPr>
          <w:rFonts w:cs="Arial"/>
          <w:bCs/>
          <w:sz w:val="22"/>
          <w:szCs w:val="22"/>
        </w:rPr>
      </w:r>
      <w:r>
        <w:rPr>
          <w:rFonts w:cs="Arial"/>
          <w:bCs/>
          <w:sz w:val="22"/>
          <w:szCs w:val="22"/>
        </w:rPr>
        <w:fldChar w:fldCharType="separate"/>
      </w:r>
      <w:r>
        <w:rPr>
          <w:rFonts w:cs="Arial"/>
          <w:bCs/>
          <w:sz w:val="22"/>
          <w:szCs w:val="22"/>
        </w:rPr>
        <w:t>[3]</w:t>
      </w:r>
      <w:r>
        <w:rPr>
          <w:rFonts w:cs="Arial"/>
          <w:bCs/>
          <w:sz w:val="22"/>
          <w:szCs w:val="22"/>
        </w:rPr>
        <w:fldChar w:fldCharType="end"/>
      </w:r>
      <w:r w:rsidRPr="000144B3">
        <w:rPr>
          <w:rFonts w:cs="Arial"/>
          <w:bCs/>
          <w:sz w:val="22"/>
          <w:szCs w:val="22"/>
        </w:rPr>
        <w:t>, absolute and relative power tolerance are defined to control the UL transmit power quality.</w:t>
      </w:r>
      <w:r>
        <w:rPr>
          <w:rFonts w:cs="Arial"/>
          <w:bCs/>
          <w:sz w:val="22"/>
          <w:szCs w:val="22"/>
          <w:lang w:val="en-US"/>
        </w:rPr>
        <w:t xml:space="preserve"> </w:t>
      </w:r>
      <w:r w:rsidRPr="000144B3">
        <w:rPr>
          <w:rFonts w:cs="Arial"/>
          <w:bCs/>
          <w:sz w:val="22"/>
          <w:szCs w:val="22"/>
        </w:rPr>
        <w:t>Absolute power tolerance is the ability of the UE transmitter to set its initial output power to a specific value for the first sub-frame at the start of a contiguous transmission or non-contiguous transmission with a transmission gap larger than 20ms.</w:t>
      </w:r>
      <w:r>
        <w:rPr>
          <w:rFonts w:cs="Arial"/>
          <w:bCs/>
          <w:sz w:val="22"/>
          <w:szCs w:val="22"/>
        </w:rPr>
        <w:t xml:space="preserve"> </w:t>
      </w:r>
      <w:r w:rsidRPr="000144B3">
        <w:rPr>
          <w:rFonts w:cs="Arial"/>
          <w:bCs/>
          <w:sz w:val="22"/>
          <w:szCs w:val="22"/>
        </w:rPr>
        <w:t>The absolute power tolerance is ± 9.0 dB in normal conditions and ± 12.0 dB in extreme conditions and applies over the power range bounded by the Maximum output power and the Minimum output power.</w:t>
      </w:r>
      <w:r>
        <w:rPr>
          <w:rFonts w:cs="Arial"/>
          <w:bCs/>
          <w:sz w:val="22"/>
          <w:szCs w:val="22"/>
        </w:rPr>
        <w:t xml:space="preserve"> </w:t>
      </w:r>
      <w:r w:rsidRPr="000144B3">
        <w:rPr>
          <w:rFonts w:cs="Arial"/>
          <w:bCs/>
          <w:sz w:val="22"/>
          <w:szCs w:val="22"/>
        </w:rPr>
        <w:t xml:space="preserve">The relative power tolerance is the ability of the UE transmitter to set its output power in a target sub-frame relatively to the power of the most recently transmitted reference sub-frame if the transmission gap between these sub-frames is ≤ 20 </w:t>
      </w:r>
      <w:proofErr w:type="spellStart"/>
      <w:r w:rsidRPr="000144B3">
        <w:rPr>
          <w:rFonts w:cs="Arial"/>
          <w:bCs/>
          <w:sz w:val="22"/>
          <w:szCs w:val="22"/>
        </w:rPr>
        <w:t>ms</w:t>
      </w:r>
      <w:proofErr w:type="spellEnd"/>
      <w:r w:rsidRPr="000144B3">
        <w:rPr>
          <w:rFonts w:cs="Arial"/>
          <w:bCs/>
          <w:sz w:val="22"/>
          <w:szCs w:val="22"/>
        </w:rPr>
        <w:t>.</w:t>
      </w:r>
    </w:p>
    <w:p w:rsidR="00072917" w:rsidRPr="006963E2" w:rsidRDefault="000144B3" w:rsidP="006963E2">
      <w:pPr>
        <w:pStyle w:val="BodyText"/>
        <w:ind w:left="720"/>
        <w:rPr>
          <w:rFonts w:cs="Arial"/>
          <w:bCs/>
          <w:sz w:val="22"/>
          <w:szCs w:val="22"/>
        </w:rPr>
      </w:pPr>
      <w:r>
        <w:rPr>
          <w:rFonts w:cs="Arial"/>
          <w:bCs/>
          <w:sz w:val="22"/>
          <w:szCs w:val="22"/>
        </w:rPr>
        <w:lastRenderedPageBreak/>
        <w:t xml:space="preserve">For achieving UL power control accuracy, it is desired to transmit consecutive SRS transmission with a transmission gap less than 20ms. In that case, relative power levels can be used. </w:t>
      </w:r>
    </w:p>
    <w:p w:rsidR="00D92FC5" w:rsidRPr="00072917" w:rsidRDefault="00D92FC5" w:rsidP="001B2388">
      <w:pPr>
        <w:rPr>
          <w:lang w:val="en-US"/>
        </w:rPr>
      </w:pPr>
    </w:p>
    <w:p w:rsidR="00072917" w:rsidRDefault="00A33D5C" w:rsidP="008E7E2A">
      <w:pPr>
        <w:pStyle w:val="Heading2"/>
        <w:rPr>
          <w:lang w:val="en-US"/>
        </w:rPr>
      </w:pPr>
      <w:r>
        <w:rPr>
          <w:lang w:val="en-US"/>
        </w:rPr>
        <w:t>S</w:t>
      </w:r>
      <w:r w:rsidR="008E7E2A" w:rsidRPr="008E7E2A">
        <w:rPr>
          <w:lang w:val="en-US"/>
        </w:rPr>
        <w:t>witching</w:t>
      </w:r>
      <w:r>
        <w:rPr>
          <w:lang w:val="en-US"/>
        </w:rPr>
        <w:t xml:space="preserve"> time</w:t>
      </w:r>
      <w:r w:rsidR="006963E2">
        <w:rPr>
          <w:lang w:val="en-US"/>
        </w:rPr>
        <w:t xml:space="preserve"> for SRS carrier based switching</w:t>
      </w:r>
    </w:p>
    <w:p w:rsidR="006963E2" w:rsidRDefault="006963E2" w:rsidP="006963E2">
      <w:pPr>
        <w:pStyle w:val="BodyText"/>
        <w:ind w:left="720"/>
        <w:rPr>
          <w:rFonts w:cs="Arial"/>
          <w:bCs/>
          <w:sz w:val="22"/>
          <w:szCs w:val="22"/>
        </w:rPr>
      </w:pPr>
      <w:r>
        <w:rPr>
          <w:rFonts w:cs="Arial"/>
          <w:bCs/>
          <w:sz w:val="22"/>
          <w:szCs w:val="22"/>
        </w:rPr>
        <w:t xml:space="preserve">Switching time will play an important role for SRS carrier based switching for TDD systems. There can be a number of cases which need to be considered for this. Also, both RF switching and baseband switching are required to determine the final switching time. </w:t>
      </w:r>
    </w:p>
    <w:p w:rsidR="00F02717" w:rsidRDefault="00F02717" w:rsidP="006963E2">
      <w:pPr>
        <w:pStyle w:val="BodyText"/>
        <w:ind w:left="720"/>
        <w:rPr>
          <w:rFonts w:cs="Arial"/>
          <w:bCs/>
          <w:sz w:val="22"/>
          <w:szCs w:val="22"/>
        </w:rPr>
      </w:pPr>
      <w:r>
        <w:rPr>
          <w:rFonts w:cs="Arial"/>
          <w:bCs/>
          <w:sz w:val="22"/>
          <w:szCs w:val="22"/>
        </w:rPr>
        <w:t xml:space="preserve">The RF switching time corresponds to switching to new carrier (inter-band or intra-band) from RF component point of view. The baseband switching time corresponds to </w:t>
      </w:r>
      <w:r w:rsidR="00431C26">
        <w:rPr>
          <w:rFonts w:cs="Arial"/>
          <w:bCs/>
          <w:sz w:val="22"/>
          <w:szCs w:val="22"/>
        </w:rPr>
        <w:t xml:space="preserve">switching to baseband parameters </w:t>
      </w:r>
      <w:r w:rsidR="003E4249">
        <w:rPr>
          <w:rFonts w:cs="Arial"/>
          <w:bCs/>
          <w:sz w:val="22"/>
          <w:szCs w:val="22"/>
        </w:rPr>
        <w:t>o</w:t>
      </w:r>
      <w:r w:rsidR="00431C26">
        <w:rPr>
          <w:rFonts w:cs="Arial"/>
          <w:bCs/>
          <w:sz w:val="22"/>
          <w:szCs w:val="22"/>
        </w:rPr>
        <w:t xml:space="preserve">f the new carrier.  </w:t>
      </w:r>
      <w:r w:rsidR="00431C26" w:rsidRPr="00431C26">
        <w:rPr>
          <w:rFonts w:cs="Arial"/>
          <w:bCs/>
          <w:sz w:val="22"/>
          <w:szCs w:val="22"/>
        </w:rPr>
        <w:tab/>
      </w:r>
      <w:r w:rsidR="00431C26">
        <w:rPr>
          <w:rFonts w:cs="Arial"/>
          <w:bCs/>
          <w:sz w:val="22"/>
          <w:szCs w:val="22"/>
        </w:rPr>
        <w:t>When switching is done to d</w:t>
      </w:r>
      <w:r w:rsidR="00431C26" w:rsidRPr="00431C26">
        <w:rPr>
          <w:rFonts w:cs="Arial"/>
          <w:bCs/>
          <w:sz w:val="22"/>
          <w:szCs w:val="22"/>
        </w:rPr>
        <w:t xml:space="preserve">ifferent antenna, different VCO, </w:t>
      </w:r>
      <w:proofErr w:type="spellStart"/>
      <w:r w:rsidR="00431C26" w:rsidRPr="00431C26">
        <w:rPr>
          <w:rFonts w:cs="Arial"/>
          <w:bCs/>
          <w:sz w:val="22"/>
          <w:szCs w:val="22"/>
        </w:rPr>
        <w:t>etc</w:t>
      </w:r>
      <w:proofErr w:type="spellEnd"/>
      <w:r w:rsidR="00431C26">
        <w:rPr>
          <w:rFonts w:cs="Arial"/>
          <w:bCs/>
          <w:sz w:val="22"/>
          <w:szCs w:val="22"/>
        </w:rPr>
        <w:t xml:space="preserve">, then more time is needed for total carrier switching, </w:t>
      </w:r>
      <w:r w:rsidR="00431C26" w:rsidRPr="00431C26">
        <w:rPr>
          <w:rFonts w:cs="Arial"/>
          <w:bCs/>
          <w:sz w:val="22"/>
          <w:szCs w:val="22"/>
        </w:rPr>
        <w:t>since transmission of new carriers may require</w:t>
      </w:r>
      <w:r w:rsidR="00431C26">
        <w:rPr>
          <w:rFonts w:cs="Arial"/>
          <w:bCs/>
          <w:sz w:val="22"/>
          <w:szCs w:val="22"/>
        </w:rPr>
        <w:t xml:space="preserve"> more time for total switching.</w:t>
      </w:r>
    </w:p>
    <w:p w:rsidR="00433AF3" w:rsidRDefault="00844025" w:rsidP="006963E2">
      <w:pPr>
        <w:pStyle w:val="BodyText"/>
        <w:ind w:left="720"/>
        <w:rPr>
          <w:rFonts w:cs="Arial"/>
          <w:bCs/>
          <w:sz w:val="22"/>
          <w:szCs w:val="22"/>
          <w:lang w:val="en-US"/>
        </w:rPr>
      </w:pPr>
      <w:r>
        <w:rPr>
          <w:rFonts w:cs="Arial"/>
          <w:bCs/>
          <w:sz w:val="22"/>
          <w:szCs w:val="22"/>
          <w:lang w:val="en-US"/>
        </w:rPr>
        <w:t xml:space="preserve">As an example: a UE is configured to transmit in one </w:t>
      </w:r>
      <w:proofErr w:type="spellStart"/>
      <w:r w:rsidR="00433AF3">
        <w:rPr>
          <w:rFonts w:cs="Arial"/>
          <w:bCs/>
          <w:sz w:val="22"/>
          <w:szCs w:val="22"/>
          <w:lang w:val="en-US"/>
        </w:rPr>
        <w:t>Scell</w:t>
      </w:r>
      <w:proofErr w:type="spellEnd"/>
      <w:r>
        <w:rPr>
          <w:rFonts w:cs="Arial"/>
          <w:bCs/>
          <w:sz w:val="22"/>
          <w:szCs w:val="22"/>
          <w:lang w:val="en-US"/>
        </w:rPr>
        <w:t>, namely SCell#</w:t>
      </w:r>
      <w:r w:rsidR="00433AF3">
        <w:rPr>
          <w:rFonts w:cs="Arial"/>
          <w:bCs/>
          <w:sz w:val="22"/>
          <w:szCs w:val="22"/>
          <w:lang w:val="en-US"/>
        </w:rPr>
        <w:t>1 in SF#1</w:t>
      </w:r>
      <w:r>
        <w:rPr>
          <w:rFonts w:cs="Arial"/>
          <w:bCs/>
          <w:sz w:val="22"/>
          <w:szCs w:val="22"/>
          <w:lang w:val="en-US"/>
        </w:rPr>
        <w:t xml:space="preserve">. The same UE perform SRS </w:t>
      </w:r>
      <w:r w:rsidR="00FB4264">
        <w:rPr>
          <w:rFonts w:cs="Arial"/>
          <w:bCs/>
          <w:sz w:val="22"/>
          <w:szCs w:val="22"/>
          <w:lang w:val="en-US"/>
        </w:rPr>
        <w:t>switching</w:t>
      </w:r>
      <w:r>
        <w:rPr>
          <w:rFonts w:cs="Arial"/>
          <w:bCs/>
          <w:sz w:val="22"/>
          <w:szCs w:val="22"/>
          <w:lang w:val="en-US"/>
        </w:rPr>
        <w:t xml:space="preserve"> in SF#2 for a second </w:t>
      </w:r>
      <w:proofErr w:type="spellStart"/>
      <w:r>
        <w:rPr>
          <w:rFonts w:cs="Arial"/>
          <w:bCs/>
          <w:sz w:val="22"/>
          <w:szCs w:val="22"/>
          <w:lang w:val="en-US"/>
        </w:rPr>
        <w:t>Scell</w:t>
      </w:r>
      <w:proofErr w:type="spellEnd"/>
      <w:r>
        <w:rPr>
          <w:rFonts w:cs="Arial"/>
          <w:bCs/>
          <w:sz w:val="22"/>
          <w:szCs w:val="22"/>
          <w:lang w:val="en-US"/>
        </w:rPr>
        <w:t xml:space="preserve">, namely SCell#2. </w:t>
      </w:r>
      <w:r w:rsidR="00433AF3">
        <w:rPr>
          <w:rFonts w:cs="Arial"/>
          <w:bCs/>
          <w:sz w:val="22"/>
          <w:szCs w:val="22"/>
          <w:lang w:val="en-US"/>
        </w:rPr>
        <w:t>SCell</w:t>
      </w:r>
      <w:r>
        <w:rPr>
          <w:rFonts w:cs="Arial"/>
          <w:bCs/>
          <w:sz w:val="22"/>
          <w:szCs w:val="22"/>
          <w:lang w:val="en-US"/>
        </w:rPr>
        <w:t>#</w:t>
      </w:r>
      <w:r w:rsidR="00433AF3">
        <w:rPr>
          <w:rFonts w:cs="Arial"/>
          <w:bCs/>
          <w:sz w:val="22"/>
          <w:szCs w:val="22"/>
          <w:lang w:val="en-US"/>
        </w:rPr>
        <w:t xml:space="preserve">2 </w:t>
      </w:r>
      <w:r>
        <w:rPr>
          <w:rFonts w:cs="Arial"/>
          <w:bCs/>
          <w:sz w:val="22"/>
          <w:szCs w:val="22"/>
          <w:lang w:val="en-US"/>
        </w:rPr>
        <w:t xml:space="preserve">transmission </w:t>
      </w:r>
      <w:r w:rsidR="00433AF3">
        <w:rPr>
          <w:rFonts w:cs="Arial"/>
          <w:bCs/>
          <w:sz w:val="22"/>
          <w:szCs w:val="22"/>
          <w:lang w:val="en-US"/>
        </w:rPr>
        <w:t xml:space="preserve">in SF#2 </w:t>
      </w:r>
      <w:r>
        <w:rPr>
          <w:rFonts w:cs="Arial"/>
          <w:bCs/>
          <w:sz w:val="22"/>
          <w:szCs w:val="22"/>
          <w:lang w:val="en-US"/>
        </w:rPr>
        <w:t>is for SRS tran</w:t>
      </w:r>
      <w:r w:rsidR="00433AF3">
        <w:rPr>
          <w:rFonts w:cs="Arial"/>
          <w:bCs/>
          <w:sz w:val="22"/>
          <w:szCs w:val="22"/>
          <w:lang w:val="en-US"/>
        </w:rPr>
        <w:t xml:space="preserve">smission only </w:t>
      </w:r>
    </w:p>
    <w:p w:rsidR="00433AF3" w:rsidRDefault="00FB4264" w:rsidP="006963E2">
      <w:pPr>
        <w:pStyle w:val="BodyText"/>
        <w:ind w:left="720"/>
        <w:rPr>
          <w:rFonts w:cs="Arial"/>
          <w:bCs/>
          <w:sz w:val="22"/>
          <w:szCs w:val="22"/>
          <w:lang w:val="en-US"/>
        </w:rPr>
      </w:pPr>
      <w:r>
        <w:rPr>
          <w:rFonts w:cs="Arial"/>
          <w:bCs/>
          <w:sz w:val="22"/>
          <w:szCs w:val="22"/>
          <w:lang w:val="en-US"/>
        </w:rPr>
        <w:t>Switching</w:t>
      </w:r>
      <w:r w:rsidR="00433AF3">
        <w:rPr>
          <w:rFonts w:cs="Arial"/>
          <w:bCs/>
          <w:sz w:val="22"/>
          <w:szCs w:val="22"/>
          <w:lang w:val="en-US"/>
        </w:rPr>
        <w:t xml:space="preserve"> happens at the beginning of SF#2, </w:t>
      </w:r>
      <w:r w:rsidR="00844025">
        <w:rPr>
          <w:rFonts w:cs="Arial"/>
          <w:bCs/>
          <w:sz w:val="22"/>
          <w:szCs w:val="22"/>
          <w:lang w:val="en-US"/>
        </w:rPr>
        <w:t xml:space="preserve">and </w:t>
      </w:r>
      <w:r w:rsidR="00433AF3">
        <w:rPr>
          <w:rFonts w:cs="Arial"/>
          <w:bCs/>
          <w:sz w:val="22"/>
          <w:szCs w:val="22"/>
          <w:lang w:val="en-US"/>
        </w:rPr>
        <w:t xml:space="preserve">SRS configuration </w:t>
      </w:r>
      <w:r w:rsidR="00844025">
        <w:rPr>
          <w:rFonts w:cs="Arial"/>
          <w:bCs/>
          <w:sz w:val="22"/>
          <w:szCs w:val="22"/>
          <w:lang w:val="en-US"/>
        </w:rPr>
        <w:t xml:space="preserve">for SCell#2 </w:t>
      </w:r>
      <w:r w:rsidR="00433AF3">
        <w:rPr>
          <w:rFonts w:cs="Arial"/>
          <w:bCs/>
          <w:sz w:val="22"/>
          <w:szCs w:val="22"/>
          <w:lang w:val="en-US"/>
        </w:rPr>
        <w:t xml:space="preserve">is already known to the UE </w:t>
      </w:r>
      <w:r w:rsidR="00844025">
        <w:rPr>
          <w:rFonts w:cs="Arial"/>
          <w:bCs/>
          <w:sz w:val="22"/>
          <w:szCs w:val="22"/>
          <w:lang w:val="en-US"/>
        </w:rPr>
        <w:t>when SRS grant was received</w:t>
      </w:r>
      <w:r w:rsidR="00433AF3">
        <w:rPr>
          <w:rFonts w:cs="Arial"/>
          <w:bCs/>
          <w:sz w:val="22"/>
          <w:szCs w:val="22"/>
          <w:lang w:val="en-US"/>
        </w:rPr>
        <w:t>. So</w:t>
      </w:r>
      <w:r w:rsidR="00844025">
        <w:rPr>
          <w:rFonts w:cs="Arial"/>
          <w:bCs/>
          <w:sz w:val="22"/>
          <w:szCs w:val="22"/>
          <w:lang w:val="en-US"/>
        </w:rPr>
        <w:t xml:space="preserve">, the switching time involves RF switching. </w:t>
      </w:r>
      <w:r w:rsidR="00433AF3">
        <w:rPr>
          <w:rFonts w:cs="Arial"/>
          <w:bCs/>
          <w:sz w:val="22"/>
          <w:szCs w:val="22"/>
          <w:lang w:val="en-US"/>
        </w:rPr>
        <w:t xml:space="preserve"> </w:t>
      </w:r>
      <w:r w:rsidR="00844025">
        <w:rPr>
          <w:rFonts w:cs="Arial"/>
          <w:bCs/>
          <w:sz w:val="22"/>
          <w:szCs w:val="22"/>
          <w:lang w:val="en-US"/>
        </w:rPr>
        <w:t xml:space="preserve">Baseband configuration is already taken care of when RF switching happens. </w:t>
      </w:r>
    </w:p>
    <w:p w:rsidR="00844025" w:rsidRPr="001B2388" w:rsidRDefault="00844025" w:rsidP="006963E2">
      <w:pPr>
        <w:pStyle w:val="BodyText"/>
        <w:ind w:left="720"/>
        <w:rPr>
          <w:rFonts w:cs="Arial"/>
          <w:bCs/>
          <w:sz w:val="22"/>
          <w:szCs w:val="22"/>
          <w:lang w:val="en-US"/>
        </w:rPr>
      </w:pPr>
    </w:p>
    <w:tbl>
      <w:tblPr>
        <w:tblStyle w:val="TableGrid"/>
        <w:tblW w:w="0" w:type="auto"/>
        <w:tblInd w:w="1242" w:type="dxa"/>
        <w:tblLayout w:type="fixed"/>
        <w:tblLook w:val="04A0" w:firstRow="1" w:lastRow="0" w:firstColumn="1" w:lastColumn="0" w:noHBand="0" w:noVBand="1"/>
      </w:tblPr>
      <w:tblGrid>
        <w:gridCol w:w="3119"/>
        <w:gridCol w:w="1417"/>
        <w:gridCol w:w="1560"/>
        <w:gridCol w:w="1417"/>
      </w:tblGrid>
      <w:tr w:rsidR="00844025" w:rsidTr="00FB4264">
        <w:tc>
          <w:tcPr>
            <w:tcW w:w="3119" w:type="dxa"/>
          </w:tcPr>
          <w:p w:rsidR="00844025" w:rsidRDefault="00844025" w:rsidP="006963E2">
            <w:pPr>
              <w:pStyle w:val="BodyText"/>
              <w:rPr>
                <w:lang w:val="en-US"/>
              </w:rPr>
            </w:pPr>
          </w:p>
        </w:tc>
        <w:tc>
          <w:tcPr>
            <w:tcW w:w="1417" w:type="dxa"/>
          </w:tcPr>
          <w:p w:rsidR="00844025" w:rsidRDefault="00844025" w:rsidP="006963E2">
            <w:pPr>
              <w:pStyle w:val="BodyText"/>
              <w:rPr>
                <w:lang w:val="en-US"/>
              </w:rPr>
            </w:pPr>
            <w:r>
              <w:rPr>
                <w:lang w:val="en-US"/>
              </w:rPr>
              <w:t>RF switching time</w:t>
            </w:r>
          </w:p>
        </w:tc>
        <w:tc>
          <w:tcPr>
            <w:tcW w:w="1560" w:type="dxa"/>
          </w:tcPr>
          <w:p w:rsidR="00844025" w:rsidRDefault="00844025" w:rsidP="00FB4264">
            <w:pPr>
              <w:pStyle w:val="BodyText"/>
              <w:jc w:val="left"/>
              <w:rPr>
                <w:lang w:val="en-US"/>
              </w:rPr>
            </w:pPr>
            <w:r>
              <w:rPr>
                <w:lang w:val="en-US"/>
              </w:rPr>
              <w:t xml:space="preserve">Different antenna, different VCO, </w:t>
            </w:r>
            <w:proofErr w:type="spellStart"/>
            <w:r>
              <w:rPr>
                <w:lang w:val="en-US"/>
              </w:rPr>
              <w:t>etc</w:t>
            </w:r>
            <w:proofErr w:type="spellEnd"/>
            <w:r>
              <w:rPr>
                <w:lang w:val="en-US"/>
              </w:rPr>
              <w:t xml:space="preserve"> case</w:t>
            </w:r>
          </w:p>
        </w:tc>
        <w:tc>
          <w:tcPr>
            <w:tcW w:w="1417" w:type="dxa"/>
          </w:tcPr>
          <w:p w:rsidR="00844025" w:rsidRDefault="00844025" w:rsidP="00B26EDF">
            <w:pPr>
              <w:pStyle w:val="BodyText"/>
              <w:jc w:val="left"/>
              <w:rPr>
                <w:lang w:val="en-US"/>
              </w:rPr>
            </w:pPr>
            <w:bookmarkStart w:id="2" w:name="_GoBack"/>
            <w:r>
              <w:rPr>
                <w:lang w:val="en-US"/>
              </w:rPr>
              <w:t xml:space="preserve">Total </w:t>
            </w:r>
            <w:r w:rsidR="00D15D25">
              <w:rPr>
                <w:lang w:val="en-US"/>
              </w:rPr>
              <w:t xml:space="preserve">RF </w:t>
            </w:r>
            <w:r>
              <w:rPr>
                <w:lang w:val="en-US"/>
              </w:rPr>
              <w:t>switching time</w:t>
            </w:r>
            <w:r w:rsidR="00D15D25">
              <w:rPr>
                <w:lang w:val="en-US"/>
              </w:rPr>
              <w:t xml:space="preserve"> (Max)</w:t>
            </w:r>
            <w:bookmarkEnd w:id="2"/>
          </w:p>
        </w:tc>
      </w:tr>
      <w:tr w:rsidR="00844025" w:rsidTr="00FB4264">
        <w:tc>
          <w:tcPr>
            <w:tcW w:w="3119" w:type="dxa"/>
          </w:tcPr>
          <w:p w:rsidR="00844025" w:rsidRDefault="00844025" w:rsidP="006963E2">
            <w:pPr>
              <w:pStyle w:val="BodyText"/>
              <w:rPr>
                <w:lang w:val="en-US"/>
              </w:rPr>
            </w:pPr>
            <w:r>
              <w:rPr>
                <w:lang w:val="en-US"/>
              </w:rPr>
              <w:t>Inter-band case without antenna switching</w:t>
            </w:r>
          </w:p>
        </w:tc>
        <w:tc>
          <w:tcPr>
            <w:tcW w:w="1417" w:type="dxa"/>
          </w:tcPr>
          <w:p w:rsidR="00844025" w:rsidRDefault="00844025" w:rsidP="00D15D25">
            <w:pPr>
              <w:pStyle w:val="BodyText"/>
              <w:rPr>
                <w:lang w:val="en-US"/>
              </w:rPr>
            </w:pPr>
            <w:r>
              <w:rPr>
                <w:lang w:val="en-US"/>
              </w:rPr>
              <w:t>100-200</w:t>
            </w:r>
            <w:r w:rsidR="00D15D25">
              <w:rPr>
                <w:rFonts w:cs="Arial"/>
                <w:lang w:val="en-US"/>
              </w:rPr>
              <w:t>µ</w:t>
            </w:r>
            <w:r>
              <w:rPr>
                <w:lang w:val="en-US"/>
              </w:rPr>
              <w:t>s</w:t>
            </w:r>
          </w:p>
        </w:tc>
        <w:tc>
          <w:tcPr>
            <w:tcW w:w="1560" w:type="dxa"/>
          </w:tcPr>
          <w:p w:rsidR="00844025" w:rsidRDefault="00844025" w:rsidP="006963E2">
            <w:pPr>
              <w:pStyle w:val="BodyText"/>
              <w:rPr>
                <w:lang w:val="en-US"/>
              </w:rPr>
            </w:pPr>
            <w:r>
              <w:rPr>
                <w:lang w:val="en-US"/>
              </w:rPr>
              <w:t>Not needed</w:t>
            </w:r>
          </w:p>
        </w:tc>
        <w:tc>
          <w:tcPr>
            <w:tcW w:w="1417" w:type="dxa"/>
          </w:tcPr>
          <w:p w:rsidR="00844025" w:rsidRDefault="00844025" w:rsidP="006963E2">
            <w:pPr>
              <w:pStyle w:val="BodyText"/>
              <w:rPr>
                <w:lang w:val="en-US"/>
              </w:rPr>
            </w:pPr>
            <w:r>
              <w:rPr>
                <w:lang w:val="en-US"/>
              </w:rPr>
              <w:t>200</w:t>
            </w:r>
            <w:r w:rsidR="00D15D25">
              <w:rPr>
                <w:rFonts w:cs="Arial"/>
                <w:lang w:val="en-US"/>
              </w:rPr>
              <w:t>µs</w:t>
            </w:r>
          </w:p>
        </w:tc>
      </w:tr>
      <w:tr w:rsidR="00844025" w:rsidTr="00FB4264">
        <w:tc>
          <w:tcPr>
            <w:tcW w:w="3119" w:type="dxa"/>
          </w:tcPr>
          <w:p w:rsidR="00844025" w:rsidRDefault="00844025" w:rsidP="006963E2">
            <w:pPr>
              <w:pStyle w:val="BodyText"/>
              <w:rPr>
                <w:lang w:val="en-US"/>
              </w:rPr>
            </w:pPr>
            <w:r>
              <w:rPr>
                <w:lang w:val="en-US"/>
              </w:rPr>
              <w:t>Inter-band case with antenna switching</w:t>
            </w:r>
          </w:p>
        </w:tc>
        <w:tc>
          <w:tcPr>
            <w:tcW w:w="1417" w:type="dxa"/>
          </w:tcPr>
          <w:p w:rsidR="00844025" w:rsidRDefault="00844025" w:rsidP="006963E2">
            <w:pPr>
              <w:pStyle w:val="BodyText"/>
              <w:rPr>
                <w:lang w:val="en-US"/>
              </w:rPr>
            </w:pPr>
            <w:r>
              <w:rPr>
                <w:lang w:val="en-US"/>
              </w:rPr>
              <w:t>100-200</w:t>
            </w:r>
            <w:r w:rsidR="00D15D25">
              <w:rPr>
                <w:rFonts w:cs="Arial"/>
                <w:lang w:val="en-US"/>
              </w:rPr>
              <w:t>µ</w:t>
            </w:r>
            <w:r>
              <w:rPr>
                <w:lang w:val="en-US"/>
              </w:rPr>
              <w:t>s</w:t>
            </w:r>
          </w:p>
        </w:tc>
        <w:tc>
          <w:tcPr>
            <w:tcW w:w="1560" w:type="dxa"/>
          </w:tcPr>
          <w:p w:rsidR="00844025" w:rsidRDefault="00844025" w:rsidP="006963E2">
            <w:pPr>
              <w:pStyle w:val="BodyText"/>
              <w:rPr>
                <w:lang w:val="en-US"/>
              </w:rPr>
            </w:pPr>
            <w:r>
              <w:rPr>
                <w:lang w:val="en-US"/>
              </w:rPr>
              <w:t>10-30us</w:t>
            </w:r>
          </w:p>
        </w:tc>
        <w:tc>
          <w:tcPr>
            <w:tcW w:w="1417" w:type="dxa"/>
          </w:tcPr>
          <w:p w:rsidR="00844025" w:rsidRDefault="00844025" w:rsidP="006963E2">
            <w:pPr>
              <w:pStyle w:val="BodyText"/>
              <w:rPr>
                <w:lang w:val="en-US"/>
              </w:rPr>
            </w:pPr>
            <w:r>
              <w:rPr>
                <w:lang w:val="en-US"/>
              </w:rPr>
              <w:t>230</w:t>
            </w:r>
            <w:r w:rsidR="00D15D25">
              <w:rPr>
                <w:rFonts w:cs="Arial"/>
                <w:lang w:val="en-US"/>
              </w:rPr>
              <w:t xml:space="preserve"> µs</w:t>
            </w:r>
          </w:p>
        </w:tc>
      </w:tr>
      <w:tr w:rsidR="00844025" w:rsidTr="00FB4264">
        <w:tc>
          <w:tcPr>
            <w:tcW w:w="3119" w:type="dxa"/>
          </w:tcPr>
          <w:p w:rsidR="00844025" w:rsidRDefault="00844025" w:rsidP="006963E2">
            <w:pPr>
              <w:pStyle w:val="BodyText"/>
              <w:rPr>
                <w:lang w:val="en-US"/>
              </w:rPr>
            </w:pPr>
            <w:r>
              <w:rPr>
                <w:lang w:val="en-US"/>
              </w:rPr>
              <w:t>Intra-band case</w:t>
            </w:r>
          </w:p>
        </w:tc>
        <w:tc>
          <w:tcPr>
            <w:tcW w:w="1417" w:type="dxa"/>
          </w:tcPr>
          <w:p w:rsidR="00844025" w:rsidRDefault="00844025" w:rsidP="006963E2">
            <w:pPr>
              <w:pStyle w:val="BodyText"/>
              <w:rPr>
                <w:lang w:val="en-US"/>
              </w:rPr>
            </w:pPr>
            <w:r>
              <w:rPr>
                <w:lang w:val="en-US"/>
              </w:rPr>
              <w:t>100-200</w:t>
            </w:r>
            <w:r w:rsidR="00D15D25">
              <w:rPr>
                <w:rFonts w:cs="Arial"/>
                <w:lang w:val="en-US"/>
              </w:rPr>
              <w:t>µ</w:t>
            </w:r>
            <w:r>
              <w:rPr>
                <w:lang w:val="en-US"/>
              </w:rPr>
              <w:t>s</w:t>
            </w:r>
          </w:p>
        </w:tc>
        <w:tc>
          <w:tcPr>
            <w:tcW w:w="1560" w:type="dxa"/>
          </w:tcPr>
          <w:p w:rsidR="00844025" w:rsidRDefault="00844025" w:rsidP="006963E2">
            <w:pPr>
              <w:pStyle w:val="BodyText"/>
              <w:rPr>
                <w:lang w:val="en-US"/>
              </w:rPr>
            </w:pPr>
            <w:r>
              <w:rPr>
                <w:lang w:val="en-US"/>
              </w:rPr>
              <w:t>Not needed</w:t>
            </w:r>
          </w:p>
        </w:tc>
        <w:tc>
          <w:tcPr>
            <w:tcW w:w="1417" w:type="dxa"/>
          </w:tcPr>
          <w:p w:rsidR="00844025" w:rsidRDefault="00844025" w:rsidP="006963E2">
            <w:pPr>
              <w:pStyle w:val="BodyText"/>
              <w:rPr>
                <w:lang w:val="en-US"/>
              </w:rPr>
            </w:pPr>
            <w:r>
              <w:rPr>
                <w:lang w:val="en-US"/>
              </w:rPr>
              <w:t>200</w:t>
            </w:r>
            <w:r w:rsidR="00D15D25">
              <w:rPr>
                <w:rFonts w:cs="Arial"/>
                <w:lang w:val="en-US"/>
              </w:rPr>
              <w:t xml:space="preserve"> µs</w:t>
            </w:r>
          </w:p>
        </w:tc>
      </w:tr>
      <w:tr w:rsidR="00844025" w:rsidTr="00FB4264">
        <w:tc>
          <w:tcPr>
            <w:tcW w:w="3119" w:type="dxa"/>
          </w:tcPr>
          <w:p w:rsidR="00844025" w:rsidRDefault="00844025" w:rsidP="006963E2">
            <w:pPr>
              <w:pStyle w:val="BodyText"/>
              <w:rPr>
                <w:lang w:val="en-US"/>
              </w:rPr>
            </w:pPr>
            <w:r>
              <w:rPr>
                <w:lang w:val="en-US"/>
              </w:rPr>
              <w:t>Combination of inter- and intra-band case without antenna switching</w:t>
            </w:r>
          </w:p>
        </w:tc>
        <w:tc>
          <w:tcPr>
            <w:tcW w:w="1417" w:type="dxa"/>
          </w:tcPr>
          <w:p w:rsidR="00844025" w:rsidRDefault="00844025" w:rsidP="006963E2">
            <w:pPr>
              <w:pStyle w:val="BodyText"/>
              <w:rPr>
                <w:lang w:val="en-US"/>
              </w:rPr>
            </w:pPr>
            <w:r>
              <w:rPr>
                <w:lang w:val="en-US"/>
              </w:rPr>
              <w:t>100-200</w:t>
            </w:r>
            <w:r w:rsidR="00D15D25">
              <w:rPr>
                <w:rFonts w:cs="Arial"/>
                <w:lang w:val="en-US"/>
              </w:rPr>
              <w:t>µ</w:t>
            </w:r>
            <w:r>
              <w:rPr>
                <w:lang w:val="en-US"/>
              </w:rPr>
              <w:t>s</w:t>
            </w:r>
          </w:p>
        </w:tc>
        <w:tc>
          <w:tcPr>
            <w:tcW w:w="1560" w:type="dxa"/>
          </w:tcPr>
          <w:p w:rsidR="00844025" w:rsidRDefault="00844025" w:rsidP="006963E2">
            <w:pPr>
              <w:pStyle w:val="BodyText"/>
              <w:rPr>
                <w:lang w:val="en-US"/>
              </w:rPr>
            </w:pPr>
            <w:r>
              <w:rPr>
                <w:lang w:val="en-US"/>
              </w:rPr>
              <w:t>Not needed</w:t>
            </w:r>
          </w:p>
        </w:tc>
        <w:tc>
          <w:tcPr>
            <w:tcW w:w="1417" w:type="dxa"/>
          </w:tcPr>
          <w:p w:rsidR="00844025" w:rsidRDefault="00844025" w:rsidP="006963E2">
            <w:pPr>
              <w:pStyle w:val="BodyText"/>
              <w:rPr>
                <w:lang w:val="en-US"/>
              </w:rPr>
            </w:pPr>
            <w:r>
              <w:rPr>
                <w:lang w:val="en-US"/>
              </w:rPr>
              <w:t>200</w:t>
            </w:r>
            <w:r w:rsidR="00D15D25">
              <w:rPr>
                <w:rFonts w:cs="Arial"/>
                <w:lang w:val="en-US"/>
              </w:rPr>
              <w:t xml:space="preserve"> µs</w:t>
            </w:r>
          </w:p>
        </w:tc>
      </w:tr>
      <w:tr w:rsidR="00844025" w:rsidTr="00FB4264">
        <w:tc>
          <w:tcPr>
            <w:tcW w:w="3119" w:type="dxa"/>
          </w:tcPr>
          <w:p w:rsidR="00844025" w:rsidRDefault="00844025" w:rsidP="00F02717">
            <w:pPr>
              <w:pStyle w:val="BodyText"/>
              <w:rPr>
                <w:lang w:val="en-US"/>
              </w:rPr>
            </w:pPr>
            <w:r>
              <w:rPr>
                <w:lang w:val="en-US"/>
              </w:rPr>
              <w:t>Combination of inter- and intra-band case with antenna switching</w:t>
            </w:r>
          </w:p>
        </w:tc>
        <w:tc>
          <w:tcPr>
            <w:tcW w:w="1417" w:type="dxa"/>
          </w:tcPr>
          <w:p w:rsidR="00844025" w:rsidRDefault="00844025" w:rsidP="006963E2">
            <w:pPr>
              <w:pStyle w:val="BodyText"/>
              <w:rPr>
                <w:lang w:val="en-US"/>
              </w:rPr>
            </w:pPr>
            <w:r>
              <w:rPr>
                <w:lang w:val="en-US"/>
              </w:rPr>
              <w:t>100-200</w:t>
            </w:r>
            <w:r w:rsidR="00D15D25">
              <w:rPr>
                <w:rFonts w:cs="Arial"/>
                <w:lang w:val="en-US"/>
              </w:rPr>
              <w:t>µ</w:t>
            </w:r>
            <w:r>
              <w:rPr>
                <w:lang w:val="en-US"/>
              </w:rPr>
              <w:t>s</w:t>
            </w:r>
          </w:p>
        </w:tc>
        <w:tc>
          <w:tcPr>
            <w:tcW w:w="1560" w:type="dxa"/>
          </w:tcPr>
          <w:p w:rsidR="00844025" w:rsidRDefault="00844025" w:rsidP="006963E2">
            <w:pPr>
              <w:pStyle w:val="BodyText"/>
              <w:rPr>
                <w:lang w:val="en-US"/>
              </w:rPr>
            </w:pPr>
            <w:r>
              <w:rPr>
                <w:lang w:val="en-US"/>
              </w:rPr>
              <w:t>10-30us</w:t>
            </w:r>
          </w:p>
        </w:tc>
        <w:tc>
          <w:tcPr>
            <w:tcW w:w="1417" w:type="dxa"/>
          </w:tcPr>
          <w:p w:rsidR="00844025" w:rsidRDefault="00844025" w:rsidP="006963E2">
            <w:pPr>
              <w:pStyle w:val="BodyText"/>
              <w:rPr>
                <w:lang w:val="en-US"/>
              </w:rPr>
            </w:pPr>
            <w:r>
              <w:rPr>
                <w:lang w:val="en-US"/>
              </w:rPr>
              <w:t>230</w:t>
            </w:r>
            <w:r w:rsidR="00D15D25">
              <w:rPr>
                <w:rFonts w:cs="Arial"/>
                <w:lang w:val="en-US"/>
              </w:rPr>
              <w:t xml:space="preserve"> µs</w:t>
            </w:r>
          </w:p>
        </w:tc>
      </w:tr>
    </w:tbl>
    <w:p w:rsidR="006963E2" w:rsidRPr="006963E2" w:rsidRDefault="006963E2" w:rsidP="001B2388">
      <w:pPr>
        <w:pStyle w:val="BodyText"/>
        <w:rPr>
          <w:lang w:val="en-US"/>
        </w:rPr>
      </w:pPr>
    </w:p>
    <w:p w:rsidR="00954152" w:rsidRDefault="00954152" w:rsidP="001B2388">
      <w:pPr>
        <w:pStyle w:val="BodyText"/>
        <w:ind w:left="720"/>
        <w:rPr>
          <w:rFonts w:cs="Arial"/>
          <w:bCs/>
          <w:sz w:val="22"/>
          <w:szCs w:val="22"/>
        </w:rPr>
      </w:pPr>
      <w:r>
        <w:t>To put in a context, the RF switching time alone is almost 3 PUCCH symbols in worst case, i.e. almost half a slot. That would cause problems to Reference signals in almost all uplink formats.</w:t>
      </w:r>
    </w:p>
    <w:p w:rsidR="00E450DD" w:rsidRPr="001B2388" w:rsidRDefault="00431C26" w:rsidP="001B2388">
      <w:pPr>
        <w:pStyle w:val="BodyText"/>
        <w:ind w:left="720"/>
        <w:rPr>
          <w:rFonts w:cs="Arial"/>
          <w:bCs/>
          <w:sz w:val="22"/>
          <w:szCs w:val="22"/>
        </w:rPr>
      </w:pPr>
      <w:r w:rsidRPr="001B2388">
        <w:rPr>
          <w:rFonts w:cs="Arial"/>
          <w:bCs/>
          <w:sz w:val="22"/>
          <w:szCs w:val="22"/>
        </w:rPr>
        <w:t xml:space="preserve">It is worth mentioning here that, SRS carrier based switching is different compared to </w:t>
      </w:r>
      <w:proofErr w:type="spellStart"/>
      <w:r w:rsidR="006963E2" w:rsidRPr="001B2388">
        <w:rPr>
          <w:rFonts w:cs="Arial"/>
          <w:bCs/>
          <w:sz w:val="22"/>
          <w:szCs w:val="22"/>
        </w:rPr>
        <w:t>F</w:t>
      </w:r>
      <w:r w:rsidR="00E450DD" w:rsidRPr="001B2388">
        <w:rPr>
          <w:rFonts w:cs="Arial"/>
          <w:bCs/>
          <w:sz w:val="22"/>
          <w:szCs w:val="22"/>
        </w:rPr>
        <w:t>eMTC</w:t>
      </w:r>
      <w:proofErr w:type="spellEnd"/>
      <w:r w:rsidR="00E450DD" w:rsidRPr="001B2388">
        <w:rPr>
          <w:rFonts w:cs="Arial"/>
          <w:bCs/>
          <w:sz w:val="22"/>
          <w:szCs w:val="22"/>
        </w:rPr>
        <w:t xml:space="preserve"> </w:t>
      </w:r>
      <w:r w:rsidRPr="001B2388">
        <w:rPr>
          <w:rFonts w:cs="Arial"/>
          <w:bCs/>
          <w:sz w:val="22"/>
          <w:szCs w:val="22"/>
        </w:rPr>
        <w:t xml:space="preserve">carrier switching case, where the UE switches narrowband carriers </w:t>
      </w:r>
      <w:r w:rsidR="00E450DD" w:rsidRPr="001B2388">
        <w:rPr>
          <w:rFonts w:cs="Arial"/>
          <w:bCs/>
          <w:sz w:val="22"/>
          <w:szCs w:val="22"/>
        </w:rPr>
        <w:t xml:space="preserve">within the channel BW of the BS, </w:t>
      </w:r>
      <w:r w:rsidRPr="001B2388">
        <w:rPr>
          <w:rFonts w:cs="Arial"/>
          <w:bCs/>
          <w:sz w:val="22"/>
          <w:szCs w:val="22"/>
        </w:rPr>
        <w:t>thus, this is of frequency hopping type. That’s why a switching time of up</w:t>
      </w:r>
      <w:r>
        <w:rPr>
          <w:rFonts w:cs="Arial"/>
          <w:bCs/>
          <w:sz w:val="22"/>
          <w:szCs w:val="22"/>
        </w:rPr>
        <w:t xml:space="preserve"> </w:t>
      </w:r>
      <w:r w:rsidRPr="001B2388">
        <w:rPr>
          <w:rFonts w:cs="Arial"/>
          <w:bCs/>
          <w:sz w:val="22"/>
          <w:szCs w:val="22"/>
        </w:rPr>
        <w:t xml:space="preserve">to </w:t>
      </w:r>
      <w:r w:rsidR="00E450DD" w:rsidRPr="001B2388">
        <w:rPr>
          <w:rFonts w:cs="Arial"/>
          <w:bCs/>
          <w:sz w:val="22"/>
          <w:szCs w:val="22"/>
        </w:rPr>
        <w:t xml:space="preserve">2 </w:t>
      </w:r>
      <w:r w:rsidRPr="001B2388">
        <w:rPr>
          <w:rFonts w:cs="Arial"/>
          <w:bCs/>
          <w:sz w:val="22"/>
          <w:szCs w:val="22"/>
        </w:rPr>
        <w:t xml:space="preserve">OFDM </w:t>
      </w:r>
      <w:r w:rsidR="00E450DD" w:rsidRPr="001B2388">
        <w:rPr>
          <w:rFonts w:cs="Arial"/>
          <w:bCs/>
          <w:sz w:val="22"/>
          <w:szCs w:val="22"/>
        </w:rPr>
        <w:t xml:space="preserve">symbols </w:t>
      </w:r>
      <w:r w:rsidRPr="00431C26">
        <w:rPr>
          <w:rFonts w:cs="Arial"/>
          <w:bCs/>
          <w:sz w:val="22"/>
          <w:szCs w:val="22"/>
        </w:rPr>
        <w:t>is</w:t>
      </w:r>
      <w:r w:rsidR="00E450DD" w:rsidRPr="001B2388">
        <w:rPr>
          <w:rFonts w:cs="Arial"/>
          <w:bCs/>
          <w:sz w:val="22"/>
          <w:szCs w:val="22"/>
        </w:rPr>
        <w:t xml:space="preserve"> </w:t>
      </w:r>
      <w:r w:rsidRPr="001B2388">
        <w:rPr>
          <w:rFonts w:cs="Arial"/>
          <w:bCs/>
          <w:sz w:val="22"/>
          <w:szCs w:val="22"/>
        </w:rPr>
        <w:t>considered.</w:t>
      </w:r>
    </w:p>
    <w:p w:rsidR="00431C26" w:rsidRDefault="00E450DD" w:rsidP="00431C26">
      <w:pPr>
        <w:pStyle w:val="Heading2"/>
        <w:rPr>
          <w:lang w:val="en-US"/>
        </w:rPr>
      </w:pPr>
      <w:r>
        <w:rPr>
          <w:lang w:val="en-US"/>
        </w:rPr>
        <w:lastRenderedPageBreak/>
        <w:t>Different SRS</w:t>
      </w:r>
      <w:r w:rsidR="00431C26">
        <w:rPr>
          <w:lang w:val="en-US"/>
        </w:rPr>
        <w:t xml:space="preserve"> bandwidth in dif</w:t>
      </w:r>
      <w:r w:rsidR="00433AF3">
        <w:rPr>
          <w:lang w:val="en-US"/>
        </w:rPr>
        <w:t>f</w:t>
      </w:r>
      <w:r w:rsidR="00431C26">
        <w:rPr>
          <w:lang w:val="en-US"/>
        </w:rPr>
        <w:t>erent carrier</w:t>
      </w:r>
    </w:p>
    <w:p w:rsidR="008E7E2A" w:rsidRDefault="00431C26" w:rsidP="001B2388">
      <w:pPr>
        <w:pStyle w:val="Heading2"/>
        <w:numPr>
          <w:ilvl w:val="0"/>
          <w:numId w:val="0"/>
        </w:numPr>
        <w:ind w:left="576"/>
        <w:rPr>
          <w:lang w:val="en-US"/>
        </w:rPr>
      </w:pPr>
      <w:r>
        <w:rPr>
          <w:bCs/>
          <w:sz w:val="22"/>
          <w:szCs w:val="22"/>
        </w:rPr>
        <w:t xml:space="preserve">When the carrier to which SRS carrier based </w:t>
      </w:r>
      <w:r w:rsidR="00AD0BB1">
        <w:rPr>
          <w:bCs/>
          <w:sz w:val="22"/>
          <w:szCs w:val="22"/>
        </w:rPr>
        <w:t>switching</w:t>
      </w:r>
      <w:r>
        <w:rPr>
          <w:bCs/>
          <w:sz w:val="22"/>
          <w:szCs w:val="22"/>
        </w:rPr>
        <w:t xml:space="preserve"> will occur has different SRS bandwidth and other different SRS configuration parameters, then the switching time will increase accordingly.</w:t>
      </w:r>
    </w:p>
    <w:p w:rsidR="008E7E2A" w:rsidRDefault="00431C26" w:rsidP="008E7E2A">
      <w:pPr>
        <w:pStyle w:val="Heading2"/>
        <w:rPr>
          <w:lang w:val="en-US"/>
        </w:rPr>
      </w:pPr>
      <w:r>
        <w:rPr>
          <w:lang w:val="en-US"/>
        </w:rPr>
        <w:t xml:space="preserve">Switching </w:t>
      </w:r>
      <w:r w:rsidRPr="008E7E2A">
        <w:rPr>
          <w:lang w:val="en-US"/>
        </w:rPr>
        <w:t>tim</w:t>
      </w:r>
      <w:r>
        <w:rPr>
          <w:lang w:val="en-US"/>
        </w:rPr>
        <w:t>e</w:t>
      </w:r>
      <w:r w:rsidRPr="008E7E2A">
        <w:rPr>
          <w:lang w:val="en-US"/>
        </w:rPr>
        <w:t xml:space="preserve"> </w:t>
      </w:r>
      <w:r>
        <w:rPr>
          <w:lang w:val="en-US"/>
        </w:rPr>
        <w:t xml:space="preserve">due to </w:t>
      </w:r>
      <w:r w:rsidR="008E7E2A" w:rsidRPr="008E7E2A">
        <w:rPr>
          <w:lang w:val="en-US"/>
        </w:rPr>
        <w:t>different TAGs</w:t>
      </w:r>
    </w:p>
    <w:p w:rsidR="001B2388" w:rsidRDefault="001B2388" w:rsidP="001B2388">
      <w:r>
        <w:rPr>
          <w:rStyle w:val="IvDbodytextChar"/>
        </w:rPr>
        <w:t xml:space="preserve">The impact of </w:t>
      </w:r>
      <w:r w:rsidRPr="000414A1">
        <w:rPr>
          <w:rStyle w:val="IvDbodytextChar"/>
        </w:rPr>
        <w:t xml:space="preserve">SRS carrier based switching </w:t>
      </w:r>
      <w:r>
        <w:rPr>
          <w:rStyle w:val="IvDbodytextChar"/>
        </w:rPr>
        <w:t xml:space="preserve">procedure on a scenario where carriers belong to different TAGs is not known. </w:t>
      </w:r>
      <w:r>
        <w:rPr>
          <w:lang w:val="en-US"/>
        </w:rPr>
        <w:t xml:space="preserve">Maximum TA </w:t>
      </w:r>
      <w:r w:rsidRPr="001B2388">
        <w:t>is the magnitude of the TA difference between any two TAGs configured at the UE</w:t>
      </w:r>
      <w:r>
        <w:t xml:space="preserve"> in</w:t>
      </w:r>
      <w:r w:rsidRPr="001B2388">
        <w:t xml:space="preserve"> µs. </w:t>
      </w:r>
      <w:r>
        <w:t>Max TA</w:t>
      </w:r>
      <w:r w:rsidRPr="001B2388">
        <w:t xml:space="preserve"> </w:t>
      </w:r>
      <w:r>
        <w:t>could be</w:t>
      </w:r>
      <w:r w:rsidRPr="001B2388">
        <w:t xml:space="preserve"> the magnitude of the current TA difference between the two TAGs between which carriers are to be switched. </w:t>
      </w:r>
      <w:r>
        <w:t>Max TA</w:t>
      </w:r>
      <w:r w:rsidRPr="001B2388">
        <w:t xml:space="preserve"> can </w:t>
      </w:r>
      <w:r>
        <w:t xml:space="preserve">also </w:t>
      </w:r>
      <w:r w:rsidRPr="001B2388">
        <w:t xml:space="preserve">be the magnitude of the maximum TA difference between the two TAGs between which carriers are to be switched. In a typical CA and DC scenario where SRS switching can be applied, </w:t>
      </w:r>
      <w:r>
        <w:t>Max TA</w:t>
      </w:r>
      <w:r w:rsidRPr="001B2388">
        <w:t xml:space="preserve"> is in the order of 32.47 µs and 35.21 µs respectively.</w:t>
      </w:r>
    </w:p>
    <w:p w:rsidR="001B2388" w:rsidRPr="001B2388" w:rsidRDefault="001B2388" w:rsidP="001B2388">
      <w:pPr>
        <w:rPr>
          <w:lang w:val="en-US"/>
        </w:rPr>
      </w:pPr>
      <w:r>
        <w:t xml:space="preserve">One solution could be to add max TA for the case when the carrier to be switched in on a different TAG. </w:t>
      </w:r>
    </w:p>
    <w:tbl>
      <w:tblPr>
        <w:tblStyle w:val="TableGrid"/>
        <w:tblW w:w="7513" w:type="dxa"/>
        <w:tblInd w:w="1242" w:type="dxa"/>
        <w:tblLayout w:type="fixed"/>
        <w:tblLook w:val="04A0" w:firstRow="1" w:lastRow="0" w:firstColumn="1" w:lastColumn="0" w:noHBand="0" w:noVBand="1"/>
      </w:tblPr>
      <w:tblGrid>
        <w:gridCol w:w="3119"/>
        <w:gridCol w:w="1417"/>
        <w:gridCol w:w="1417"/>
        <w:gridCol w:w="1560"/>
      </w:tblGrid>
      <w:tr w:rsidR="00D15D25" w:rsidTr="00FB4264">
        <w:tc>
          <w:tcPr>
            <w:tcW w:w="3119" w:type="dxa"/>
          </w:tcPr>
          <w:p w:rsidR="00D15D25" w:rsidRDefault="00D15D25" w:rsidP="00C36EF0">
            <w:pPr>
              <w:pStyle w:val="BodyText"/>
              <w:rPr>
                <w:lang w:val="en-US"/>
              </w:rPr>
            </w:pPr>
          </w:p>
        </w:tc>
        <w:tc>
          <w:tcPr>
            <w:tcW w:w="1417" w:type="dxa"/>
          </w:tcPr>
          <w:p w:rsidR="00D15D25" w:rsidRDefault="00D15D25" w:rsidP="00C36EF0">
            <w:pPr>
              <w:pStyle w:val="BodyText"/>
              <w:rPr>
                <w:lang w:val="en-US"/>
              </w:rPr>
            </w:pPr>
            <w:r>
              <w:rPr>
                <w:lang w:val="en-US"/>
              </w:rPr>
              <w:t>Total RF switching time (Max)</w:t>
            </w:r>
          </w:p>
        </w:tc>
        <w:tc>
          <w:tcPr>
            <w:tcW w:w="1417" w:type="dxa"/>
          </w:tcPr>
          <w:p w:rsidR="00D15D25" w:rsidRDefault="00D15D25" w:rsidP="00312081">
            <w:pPr>
              <w:pStyle w:val="BodyText"/>
              <w:rPr>
                <w:lang w:val="en-US"/>
              </w:rPr>
            </w:pPr>
            <w:r>
              <w:rPr>
                <w:lang w:val="en-US"/>
              </w:rPr>
              <w:t xml:space="preserve">Total  switching time including Max TA for CA </w:t>
            </w:r>
          </w:p>
        </w:tc>
        <w:tc>
          <w:tcPr>
            <w:tcW w:w="1560" w:type="dxa"/>
          </w:tcPr>
          <w:p w:rsidR="00D15D25" w:rsidRDefault="00D15D25" w:rsidP="00C36EF0">
            <w:pPr>
              <w:pStyle w:val="BodyText"/>
              <w:jc w:val="left"/>
              <w:rPr>
                <w:lang w:val="en-US"/>
              </w:rPr>
            </w:pPr>
            <w:r>
              <w:rPr>
                <w:lang w:val="en-US"/>
              </w:rPr>
              <w:t>Total switching time including Max TA for DC</w:t>
            </w:r>
          </w:p>
        </w:tc>
      </w:tr>
      <w:tr w:rsidR="00D15D25" w:rsidTr="00FB4264">
        <w:tc>
          <w:tcPr>
            <w:tcW w:w="3119" w:type="dxa"/>
          </w:tcPr>
          <w:p w:rsidR="00D15D25" w:rsidRDefault="00D15D25" w:rsidP="00C36EF0">
            <w:pPr>
              <w:pStyle w:val="BodyText"/>
              <w:rPr>
                <w:lang w:val="en-US"/>
              </w:rPr>
            </w:pPr>
            <w:r>
              <w:rPr>
                <w:lang w:val="en-US"/>
              </w:rPr>
              <w:t>Inter-band case without antenna switching</w:t>
            </w:r>
          </w:p>
        </w:tc>
        <w:tc>
          <w:tcPr>
            <w:tcW w:w="1417" w:type="dxa"/>
          </w:tcPr>
          <w:p w:rsidR="00D15D25" w:rsidRDefault="00D15D25" w:rsidP="00C36EF0">
            <w:pPr>
              <w:pStyle w:val="BodyText"/>
              <w:rPr>
                <w:lang w:val="en-US"/>
              </w:rPr>
            </w:pPr>
            <w:r>
              <w:rPr>
                <w:lang w:val="en-US"/>
              </w:rPr>
              <w:t>200</w:t>
            </w:r>
            <w:r>
              <w:rPr>
                <w:rFonts w:cs="Arial"/>
                <w:lang w:val="en-US"/>
              </w:rPr>
              <w:t>µs</w:t>
            </w:r>
          </w:p>
        </w:tc>
        <w:tc>
          <w:tcPr>
            <w:tcW w:w="1417" w:type="dxa"/>
          </w:tcPr>
          <w:p w:rsidR="00D15D25" w:rsidRDefault="00D15D25" w:rsidP="00D15D25">
            <w:pPr>
              <w:pStyle w:val="BodyText"/>
              <w:rPr>
                <w:lang w:val="en-US"/>
              </w:rPr>
            </w:pPr>
            <w:r>
              <w:rPr>
                <w:lang w:val="en-US"/>
              </w:rPr>
              <w:t>232.47</w:t>
            </w:r>
            <w:r>
              <w:rPr>
                <w:rFonts w:cs="Arial"/>
                <w:lang w:val="en-US"/>
              </w:rPr>
              <w:t xml:space="preserve">µs </w:t>
            </w:r>
          </w:p>
        </w:tc>
        <w:tc>
          <w:tcPr>
            <w:tcW w:w="1560" w:type="dxa"/>
          </w:tcPr>
          <w:p w:rsidR="00D15D25" w:rsidRDefault="00D15D25" w:rsidP="00D15D25">
            <w:pPr>
              <w:pStyle w:val="BodyText"/>
              <w:rPr>
                <w:lang w:val="en-US"/>
              </w:rPr>
            </w:pPr>
            <w:r>
              <w:rPr>
                <w:lang w:val="en-US"/>
              </w:rPr>
              <w:t>235.21</w:t>
            </w:r>
            <w:r>
              <w:rPr>
                <w:rFonts w:cs="Arial"/>
                <w:lang w:val="en-US"/>
              </w:rPr>
              <w:t>µs</w:t>
            </w:r>
          </w:p>
        </w:tc>
      </w:tr>
      <w:tr w:rsidR="00D15D25" w:rsidTr="00FB4264">
        <w:tc>
          <w:tcPr>
            <w:tcW w:w="3119" w:type="dxa"/>
          </w:tcPr>
          <w:p w:rsidR="00D15D25" w:rsidRDefault="00D15D25" w:rsidP="00C36EF0">
            <w:pPr>
              <w:pStyle w:val="BodyText"/>
              <w:rPr>
                <w:lang w:val="en-US"/>
              </w:rPr>
            </w:pPr>
            <w:r>
              <w:rPr>
                <w:lang w:val="en-US"/>
              </w:rPr>
              <w:t>Inter-band case with antenna switching</w:t>
            </w:r>
          </w:p>
        </w:tc>
        <w:tc>
          <w:tcPr>
            <w:tcW w:w="1417" w:type="dxa"/>
          </w:tcPr>
          <w:p w:rsidR="00D15D25" w:rsidRDefault="00D15D25" w:rsidP="00C36EF0">
            <w:pPr>
              <w:pStyle w:val="BodyText"/>
              <w:rPr>
                <w:lang w:val="en-US"/>
              </w:rPr>
            </w:pPr>
            <w:r>
              <w:rPr>
                <w:lang w:val="en-US"/>
              </w:rPr>
              <w:t>230</w:t>
            </w:r>
            <w:r>
              <w:rPr>
                <w:rFonts w:cs="Arial"/>
                <w:lang w:val="en-US"/>
              </w:rPr>
              <w:t xml:space="preserve"> µs</w:t>
            </w:r>
          </w:p>
        </w:tc>
        <w:tc>
          <w:tcPr>
            <w:tcW w:w="1417" w:type="dxa"/>
          </w:tcPr>
          <w:p w:rsidR="00D15D25" w:rsidRDefault="00D15D25" w:rsidP="00C36EF0">
            <w:pPr>
              <w:pStyle w:val="BodyText"/>
              <w:rPr>
                <w:lang w:val="en-US"/>
              </w:rPr>
            </w:pPr>
            <w:r>
              <w:rPr>
                <w:lang w:val="en-US"/>
              </w:rPr>
              <w:t>262.47</w:t>
            </w:r>
            <w:r>
              <w:rPr>
                <w:rFonts w:cs="Arial"/>
                <w:lang w:val="en-US"/>
              </w:rPr>
              <w:t>µs</w:t>
            </w:r>
          </w:p>
        </w:tc>
        <w:tc>
          <w:tcPr>
            <w:tcW w:w="1560" w:type="dxa"/>
          </w:tcPr>
          <w:p w:rsidR="00D15D25" w:rsidRDefault="00D15D25" w:rsidP="00C36EF0">
            <w:pPr>
              <w:pStyle w:val="BodyText"/>
              <w:rPr>
                <w:lang w:val="en-US"/>
              </w:rPr>
            </w:pPr>
            <w:r>
              <w:rPr>
                <w:lang w:val="en-US"/>
              </w:rPr>
              <w:t>265.21</w:t>
            </w:r>
            <w:r>
              <w:rPr>
                <w:rFonts w:cs="Arial"/>
                <w:lang w:val="en-US"/>
              </w:rPr>
              <w:t>µs</w:t>
            </w:r>
          </w:p>
        </w:tc>
      </w:tr>
      <w:tr w:rsidR="00D15D25" w:rsidTr="00FB4264">
        <w:tc>
          <w:tcPr>
            <w:tcW w:w="3119" w:type="dxa"/>
          </w:tcPr>
          <w:p w:rsidR="00D15D25" w:rsidRDefault="00D15D25" w:rsidP="00C36EF0">
            <w:pPr>
              <w:pStyle w:val="BodyText"/>
              <w:rPr>
                <w:lang w:val="en-US"/>
              </w:rPr>
            </w:pPr>
            <w:r>
              <w:rPr>
                <w:lang w:val="en-US"/>
              </w:rPr>
              <w:t>Intra-band case</w:t>
            </w:r>
          </w:p>
        </w:tc>
        <w:tc>
          <w:tcPr>
            <w:tcW w:w="1417" w:type="dxa"/>
          </w:tcPr>
          <w:p w:rsidR="00D15D25" w:rsidRDefault="00D15D25" w:rsidP="00C36EF0">
            <w:pPr>
              <w:pStyle w:val="BodyText"/>
              <w:rPr>
                <w:lang w:val="en-US"/>
              </w:rPr>
            </w:pPr>
            <w:r>
              <w:rPr>
                <w:lang w:val="en-US"/>
              </w:rPr>
              <w:t>200</w:t>
            </w:r>
            <w:r>
              <w:rPr>
                <w:rFonts w:cs="Arial"/>
                <w:lang w:val="en-US"/>
              </w:rPr>
              <w:t xml:space="preserve"> µs</w:t>
            </w:r>
          </w:p>
        </w:tc>
        <w:tc>
          <w:tcPr>
            <w:tcW w:w="1417" w:type="dxa"/>
          </w:tcPr>
          <w:p w:rsidR="00D15D25" w:rsidRDefault="00D15D25" w:rsidP="00C36EF0">
            <w:pPr>
              <w:pStyle w:val="BodyText"/>
              <w:rPr>
                <w:lang w:val="en-US"/>
              </w:rPr>
            </w:pPr>
            <w:r>
              <w:rPr>
                <w:lang w:val="en-US"/>
              </w:rPr>
              <w:t>232.47</w:t>
            </w:r>
            <w:r>
              <w:rPr>
                <w:rFonts w:cs="Arial"/>
                <w:lang w:val="en-US"/>
              </w:rPr>
              <w:t>µs</w:t>
            </w:r>
          </w:p>
        </w:tc>
        <w:tc>
          <w:tcPr>
            <w:tcW w:w="1560" w:type="dxa"/>
          </w:tcPr>
          <w:p w:rsidR="00D15D25" w:rsidRDefault="00D15D25" w:rsidP="00C36EF0">
            <w:pPr>
              <w:pStyle w:val="BodyText"/>
              <w:rPr>
                <w:lang w:val="en-US"/>
              </w:rPr>
            </w:pPr>
            <w:r>
              <w:rPr>
                <w:lang w:val="en-US"/>
              </w:rPr>
              <w:t>235.21</w:t>
            </w:r>
            <w:r>
              <w:rPr>
                <w:rFonts w:cs="Arial"/>
                <w:lang w:val="en-US"/>
              </w:rPr>
              <w:t>µs</w:t>
            </w:r>
          </w:p>
        </w:tc>
      </w:tr>
      <w:tr w:rsidR="00D15D25" w:rsidTr="00FB4264">
        <w:tc>
          <w:tcPr>
            <w:tcW w:w="3119" w:type="dxa"/>
          </w:tcPr>
          <w:p w:rsidR="00D15D25" w:rsidRDefault="00D15D25" w:rsidP="00C36EF0">
            <w:pPr>
              <w:pStyle w:val="BodyText"/>
              <w:rPr>
                <w:lang w:val="en-US"/>
              </w:rPr>
            </w:pPr>
            <w:r>
              <w:rPr>
                <w:lang w:val="en-US"/>
              </w:rPr>
              <w:t>Combination of inter- and intra-band case without antenna switching</w:t>
            </w:r>
          </w:p>
        </w:tc>
        <w:tc>
          <w:tcPr>
            <w:tcW w:w="1417" w:type="dxa"/>
          </w:tcPr>
          <w:p w:rsidR="00D15D25" w:rsidRDefault="00D15D25" w:rsidP="00C36EF0">
            <w:pPr>
              <w:pStyle w:val="BodyText"/>
              <w:rPr>
                <w:lang w:val="en-US"/>
              </w:rPr>
            </w:pPr>
            <w:r>
              <w:rPr>
                <w:lang w:val="en-US"/>
              </w:rPr>
              <w:t>200</w:t>
            </w:r>
            <w:r>
              <w:rPr>
                <w:rFonts w:cs="Arial"/>
                <w:lang w:val="en-US"/>
              </w:rPr>
              <w:t xml:space="preserve"> µs</w:t>
            </w:r>
          </w:p>
        </w:tc>
        <w:tc>
          <w:tcPr>
            <w:tcW w:w="1417" w:type="dxa"/>
          </w:tcPr>
          <w:p w:rsidR="00D15D25" w:rsidRDefault="00D15D25" w:rsidP="00C36EF0">
            <w:pPr>
              <w:pStyle w:val="BodyText"/>
              <w:rPr>
                <w:lang w:val="en-US"/>
              </w:rPr>
            </w:pPr>
            <w:r>
              <w:rPr>
                <w:lang w:val="en-US"/>
              </w:rPr>
              <w:t>232.47</w:t>
            </w:r>
            <w:r>
              <w:rPr>
                <w:rFonts w:cs="Arial"/>
                <w:lang w:val="en-US"/>
              </w:rPr>
              <w:t>µs</w:t>
            </w:r>
          </w:p>
        </w:tc>
        <w:tc>
          <w:tcPr>
            <w:tcW w:w="1560" w:type="dxa"/>
          </w:tcPr>
          <w:p w:rsidR="00D15D25" w:rsidRDefault="00D15D25" w:rsidP="00C36EF0">
            <w:pPr>
              <w:pStyle w:val="BodyText"/>
              <w:rPr>
                <w:lang w:val="en-US"/>
              </w:rPr>
            </w:pPr>
            <w:r>
              <w:rPr>
                <w:lang w:val="en-US"/>
              </w:rPr>
              <w:t>235.21</w:t>
            </w:r>
            <w:r>
              <w:rPr>
                <w:rFonts w:cs="Arial"/>
                <w:lang w:val="en-US"/>
              </w:rPr>
              <w:t>µs</w:t>
            </w:r>
          </w:p>
        </w:tc>
      </w:tr>
      <w:tr w:rsidR="00D15D25" w:rsidTr="00FB4264">
        <w:tc>
          <w:tcPr>
            <w:tcW w:w="3119" w:type="dxa"/>
          </w:tcPr>
          <w:p w:rsidR="00D15D25" w:rsidRDefault="00D15D25" w:rsidP="00C36EF0">
            <w:pPr>
              <w:pStyle w:val="BodyText"/>
              <w:rPr>
                <w:lang w:val="en-US"/>
              </w:rPr>
            </w:pPr>
            <w:r>
              <w:rPr>
                <w:lang w:val="en-US"/>
              </w:rPr>
              <w:t>Combination of inter- and intra-band case with antenna switching</w:t>
            </w:r>
          </w:p>
        </w:tc>
        <w:tc>
          <w:tcPr>
            <w:tcW w:w="1417" w:type="dxa"/>
          </w:tcPr>
          <w:p w:rsidR="00D15D25" w:rsidRDefault="00D15D25" w:rsidP="00C36EF0">
            <w:pPr>
              <w:pStyle w:val="BodyText"/>
              <w:rPr>
                <w:lang w:val="en-US"/>
              </w:rPr>
            </w:pPr>
            <w:r>
              <w:rPr>
                <w:lang w:val="en-US"/>
              </w:rPr>
              <w:t>230</w:t>
            </w:r>
            <w:r>
              <w:rPr>
                <w:rFonts w:cs="Arial"/>
                <w:lang w:val="en-US"/>
              </w:rPr>
              <w:t xml:space="preserve"> µs</w:t>
            </w:r>
          </w:p>
        </w:tc>
        <w:tc>
          <w:tcPr>
            <w:tcW w:w="1417" w:type="dxa"/>
          </w:tcPr>
          <w:p w:rsidR="00D15D25" w:rsidRDefault="00D15D25" w:rsidP="00C36EF0">
            <w:pPr>
              <w:pStyle w:val="BodyText"/>
              <w:rPr>
                <w:lang w:val="en-US"/>
              </w:rPr>
            </w:pPr>
            <w:r>
              <w:rPr>
                <w:lang w:val="en-US"/>
              </w:rPr>
              <w:t>262.47</w:t>
            </w:r>
            <w:r>
              <w:rPr>
                <w:rFonts w:cs="Arial"/>
                <w:lang w:val="en-US"/>
              </w:rPr>
              <w:t>µs</w:t>
            </w:r>
          </w:p>
        </w:tc>
        <w:tc>
          <w:tcPr>
            <w:tcW w:w="1560" w:type="dxa"/>
          </w:tcPr>
          <w:p w:rsidR="00D15D25" w:rsidRDefault="00D15D25" w:rsidP="00C36EF0">
            <w:pPr>
              <w:pStyle w:val="BodyText"/>
              <w:rPr>
                <w:lang w:val="en-US"/>
              </w:rPr>
            </w:pPr>
            <w:r>
              <w:rPr>
                <w:lang w:val="en-US"/>
              </w:rPr>
              <w:t>265.21</w:t>
            </w:r>
            <w:r>
              <w:rPr>
                <w:rFonts w:cs="Arial"/>
                <w:lang w:val="en-US"/>
              </w:rPr>
              <w:t>µs</w:t>
            </w:r>
          </w:p>
        </w:tc>
      </w:tr>
    </w:tbl>
    <w:p w:rsidR="00D15D25" w:rsidRDefault="00D15D25" w:rsidP="001B2388">
      <w:pPr>
        <w:rPr>
          <w:lang w:val="en-US"/>
        </w:rPr>
      </w:pPr>
    </w:p>
    <w:p w:rsidR="00433AF3" w:rsidRPr="00887B46" w:rsidRDefault="00887B46" w:rsidP="00FB4264">
      <w:pPr>
        <w:pStyle w:val="Heading2"/>
        <w:rPr>
          <w:lang w:val="en-US"/>
        </w:rPr>
      </w:pPr>
      <w:r w:rsidRPr="00887B46">
        <w:rPr>
          <w:lang w:val="en-US"/>
        </w:rPr>
        <w:t>Switching time due to LBT</w:t>
      </w:r>
      <w:r>
        <w:rPr>
          <w:lang w:val="en-US"/>
        </w:rPr>
        <w:t xml:space="preserve"> in unlicensed operation</w:t>
      </w:r>
    </w:p>
    <w:p w:rsidR="00D15D25" w:rsidRDefault="00887B46" w:rsidP="001B2388">
      <w:pPr>
        <w:rPr>
          <w:lang w:val="en-US"/>
        </w:rPr>
      </w:pPr>
      <w:r>
        <w:rPr>
          <w:lang w:val="en-US"/>
        </w:rPr>
        <w:t xml:space="preserve">If one of the switched carriers is in unlicensed band or in any other band where LBT is required, then total switching time will be increased. In this case, LBT duration will also be added. </w:t>
      </w:r>
    </w:p>
    <w:p w:rsidR="00112552" w:rsidRDefault="00112552" w:rsidP="001B2388">
      <w:pPr>
        <w:rPr>
          <w:lang w:val="en-US"/>
        </w:rPr>
      </w:pPr>
      <w:r>
        <w:rPr>
          <w:lang w:val="en-US"/>
        </w:rPr>
        <w:t xml:space="preserve">For SRS transmission, </w:t>
      </w:r>
      <w:r w:rsidRPr="00112552">
        <w:rPr>
          <w:lang w:val="en-US"/>
        </w:rPr>
        <w:t>25</w:t>
      </w:r>
      <w:r w:rsidR="00AD0BB1" w:rsidRPr="00AD0BB1">
        <w:rPr>
          <w:rFonts w:cs="Arial"/>
          <w:lang w:val="en-US"/>
        </w:rPr>
        <w:t xml:space="preserve"> </w:t>
      </w:r>
      <w:r w:rsidR="00AD0BB1">
        <w:rPr>
          <w:rFonts w:cs="Arial"/>
          <w:lang w:val="en-US"/>
        </w:rPr>
        <w:t>µs</w:t>
      </w:r>
      <w:r w:rsidRPr="00112552">
        <w:rPr>
          <w:lang w:val="en-US"/>
        </w:rPr>
        <w:t xml:space="preserve"> </w:t>
      </w:r>
      <w:r>
        <w:rPr>
          <w:lang w:val="en-US"/>
        </w:rPr>
        <w:t xml:space="preserve">is agreed as LBT duration for </w:t>
      </w:r>
      <w:r w:rsidRPr="00112552">
        <w:rPr>
          <w:lang w:val="en-US"/>
        </w:rPr>
        <w:t xml:space="preserve">one-shot LBT within </w:t>
      </w:r>
      <w:proofErr w:type="spellStart"/>
      <w:r w:rsidRPr="00112552">
        <w:rPr>
          <w:lang w:val="en-US"/>
        </w:rPr>
        <w:t>eNB</w:t>
      </w:r>
      <w:proofErr w:type="spellEnd"/>
      <w:r w:rsidRPr="00112552">
        <w:rPr>
          <w:lang w:val="en-US"/>
        </w:rPr>
        <w:t xml:space="preserve"> </w:t>
      </w:r>
      <w:r>
        <w:rPr>
          <w:lang w:val="en-US"/>
        </w:rPr>
        <w:t xml:space="preserve">shared </w:t>
      </w:r>
      <w:r w:rsidRPr="00112552">
        <w:rPr>
          <w:lang w:val="en-US"/>
        </w:rPr>
        <w:t>MCOT</w:t>
      </w:r>
      <w:r>
        <w:rPr>
          <w:lang w:val="en-US"/>
        </w:rPr>
        <w:t xml:space="preserve"> </w:t>
      </w:r>
      <w:r>
        <w:rPr>
          <w:lang w:val="en-US"/>
        </w:rPr>
        <w:fldChar w:fldCharType="begin"/>
      </w:r>
      <w:r>
        <w:rPr>
          <w:lang w:val="en-US"/>
        </w:rPr>
        <w:instrText xml:space="preserve"> REF _Ref450907111 \r \h </w:instrText>
      </w:r>
      <w:r>
        <w:rPr>
          <w:lang w:val="en-US"/>
        </w:rPr>
      </w:r>
      <w:r>
        <w:rPr>
          <w:lang w:val="en-US"/>
        </w:rPr>
        <w:fldChar w:fldCharType="separate"/>
      </w:r>
      <w:r>
        <w:rPr>
          <w:lang w:val="en-US"/>
        </w:rPr>
        <w:t>[4]</w:t>
      </w:r>
      <w:r>
        <w:rPr>
          <w:lang w:val="en-US"/>
        </w:rPr>
        <w:fldChar w:fldCharType="end"/>
      </w:r>
      <w:r>
        <w:rPr>
          <w:lang w:val="en-US"/>
        </w:rPr>
        <w:t xml:space="preserve">. For </w:t>
      </w:r>
      <w:r w:rsidRPr="00112552">
        <w:rPr>
          <w:lang w:val="en-US"/>
        </w:rPr>
        <w:t xml:space="preserve">Cat 4 LBT outside of </w:t>
      </w:r>
      <w:proofErr w:type="spellStart"/>
      <w:r w:rsidRPr="00112552">
        <w:rPr>
          <w:lang w:val="en-US"/>
        </w:rPr>
        <w:t>eNB</w:t>
      </w:r>
      <w:proofErr w:type="spellEnd"/>
      <w:r w:rsidRPr="00112552">
        <w:rPr>
          <w:lang w:val="en-US"/>
        </w:rPr>
        <w:t xml:space="preserve"> </w:t>
      </w:r>
      <w:r>
        <w:rPr>
          <w:lang w:val="en-US"/>
        </w:rPr>
        <w:t xml:space="preserve">shared </w:t>
      </w:r>
      <w:r w:rsidRPr="00112552">
        <w:rPr>
          <w:lang w:val="en-US"/>
        </w:rPr>
        <w:t>MCOT</w:t>
      </w:r>
      <w:r>
        <w:rPr>
          <w:lang w:val="en-US"/>
        </w:rPr>
        <w:t xml:space="preserve"> when the channel is idle, it is still under discussion. One proposal is to define it as 61 </w:t>
      </w:r>
      <w:r w:rsidR="00AD0BB1">
        <w:rPr>
          <w:rFonts w:cs="Arial"/>
          <w:lang w:val="en-US"/>
        </w:rPr>
        <w:t>µs</w:t>
      </w:r>
      <w:r>
        <w:rPr>
          <w:lang w:val="en-US"/>
        </w:rPr>
        <w:t xml:space="preserve"> which corresponds to 3 time slots for sensing (</w:t>
      </w:r>
      <w:r w:rsidR="00AD0BB1">
        <w:rPr>
          <w:lang w:val="en-US"/>
        </w:rPr>
        <w:t>27</w:t>
      </w:r>
      <w:r w:rsidR="00AD0BB1">
        <w:rPr>
          <w:rFonts w:cs="Arial"/>
          <w:lang w:val="en-US"/>
        </w:rPr>
        <w:t>µs</w:t>
      </w:r>
      <w:r>
        <w:rPr>
          <w:lang w:val="en-US"/>
        </w:rPr>
        <w:t>) and a t</w:t>
      </w:r>
      <w:r w:rsidR="00AD0BB1">
        <w:rPr>
          <w:lang w:val="en-US"/>
        </w:rPr>
        <w:t>otal of 34</w:t>
      </w:r>
      <w:r w:rsidR="00AD0BB1">
        <w:rPr>
          <w:rFonts w:cs="Arial"/>
          <w:lang w:val="en-US"/>
        </w:rPr>
        <w:t>µ</w:t>
      </w:r>
      <w:r>
        <w:rPr>
          <w:lang w:val="en-US"/>
        </w:rPr>
        <w:t>s for defer period (16</w:t>
      </w:r>
      <w:r w:rsidR="00AD0BB1">
        <w:rPr>
          <w:rFonts w:cs="Arial"/>
          <w:lang w:val="en-US"/>
        </w:rPr>
        <w:t>µs</w:t>
      </w:r>
      <w:r>
        <w:rPr>
          <w:lang w:val="en-US"/>
        </w:rPr>
        <w:t>+2*9</w:t>
      </w:r>
      <w:r w:rsidR="00AD0BB1" w:rsidRPr="00AD0BB1">
        <w:rPr>
          <w:rFonts w:cs="Arial"/>
          <w:lang w:val="en-US"/>
        </w:rPr>
        <w:t xml:space="preserve"> </w:t>
      </w:r>
      <w:r w:rsidR="00AD0BB1">
        <w:rPr>
          <w:rFonts w:cs="Arial"/>
          <w:lang w:val="en-US"/>
        </w:rPr>
        <w:t>µs</w:t>
      </w:r>
      <w:r>
        <w:rPr>
          <w:lang w:val="en-US"/>
        </w:rPr>
        <w:t>)</w:t>
      </w:r>
      <w:r w:rsidR="00CE788A">
        <w:rPr>
          <w:lang w:val="en-US"/>
        </w:rPr>
        <w:t xml:space="preserve"> </w:t>
      </w:r>
      <w:r w:rsidR="00CE788A">
        <w:rPr>
          <w:lang w:val="en-US"/>
        </w:rPr>
        <w:fldChar w:fldCharType="begin"/>
      </w:r>
      <w:r w:rsidR="00CE788A">
        <w:rPr>
          <w:lang w:val="en-US"/>
        </w:rPr>
        <w:instrText xml:space="preserve"> REF _Ref450908013 \r \h </w:instrText>
      </w:r>
      <w:r w:rsidR="00CE788A">
        <w:rPr>
          <w:lang w:val="en-US"/>
        </w:rPr>
      </w:r>
      <w:r w:rsidR="00CE788A">
        <w:rPr>
          <w:lang w:val="en-US"/>
        </w:rPr>
        <w:fldChar w:fldCharType="separate"/>
      </w:r>
      <w:r w:rsidR="00CE788A">
        <w:rPr>
          <w:lang w:val="en-US"/>
        </w:rPr>
        <w:t>[5]</w:t>
      </w:r>
      <w:r w:rsidR="00CE788A">
        <w:rPr>
          <w:lang w:val="en-US"/>
        </w:rPr>
        <w:fldChar w:fldCharType="end"/>
      </w:r>
      <w:r>
        <w:rPr>
          <w:lang w:val="en-US"/>
        </w:rPr>
        <w:t xml:space="preserve">. </w:t>
      </w:r>
    </w:p>
    <w:p w:rsidR="00112552" w:rsidRDefault="00112552" w:rsidP="001B2388">
      <w:pPr>
        <w:rPr>
          <w:lang w:val="en-US"/>
        </w:rPr>
      </w:pPr>
      <w:r>
        <w:rPr>
          <w:lang w:val="en-US"/>
        </w:rPr>
        <w:t>Please note that, for busy channel, the LBT may not be successful and total time added for LBT will be increased.</w:t>
      </w:r>
    </w:p>
    <w:p w:rsidR="00AD0BB1" w:rsidRDefault="00AD0BB1" w:rsidP="001B2388">
      <w:pPr>
        <w:rPr>
          <w:lang w:val="en-US"/>
        </w:rPr>
      </w:pPr>
      <w:r>
        <w:rPr>
          <w:lang w:val="en-US"/>
        </w:rPr>
        <w:t>Based on the above, we consider 61us and update the final switching time as follows:</w:t>
      </w:r>
    </w:p>
    <w:tbl>
      <w:tblPr>
        <w:tblStyle w:val="TableGrid"/>
        <w:tblW w:w="7513" w:type="dxa"/>
        <w:tblInd w:w="1242" w:type="dxa"/>
        <w:tblLayout w:type="fixed"/>
        <w:tblLook w:val="04A0" w:firstRow="1" w:lastRow="0" w:firstColumn="1" w:lastColumn="0" w:noHBand="0" w:noVBand="1"/>
      </w:tblPr>
      <w:tblGrid>
        <w:gridCol w:w="3119"/>
        <w:gridCol w:w="1417"/>
        <w:gridCol w:w="1417"/>
        <w:gridCol w:w="1560"/>
      </w:tblGrid>
      <w:tr w:rsidR="00AD0BB1" w:rsidTr="00C36EF0">
        <w:tc>
          <w:tcPr>
            <w:tcW w:w="3119" w:type="dxa"/>
          </w:tcPr>
          <w:p w:rsidR="00AD0BB1" w:rsidRDefault="00AD0BB1" w:rsidP="00C36EF0">
            <w:pPr>
              <w:pStyle w:val="BodyText"/>
              <w:rPr>
                <w:lang w:val="en-US"/>
              </w:rPr>
            </w:pPr>
          </w:p>
        </w:tc>
        <w:tc>
          <w:tcPr>
            <w:tcW w:w="1417" w:type="dxa"/>
          </w:tcPr>
          <w:p w:rsidR="00AD0BB1" w:rsidRDefault="00AD0BB1" w:rsidP="00C36EF0">
            <w:pPr>
              <w:pStyle w:val="BodyText"/>
              <w:rPr>
                <w:lang w:val="en-US"/>
              </w:rPr>
            </w:pPr>
            <w:r>
              <w:rPr>
                <w:lang w:val="en-US"/>
              </w:rPr>
              <w:t>Total RF switching time (Max)</w:t>
            </w:r>
          </w:p>
        </w:tc>
        <w:tc>
          <w:tcPr>
            <w:tcW w:w="1417" w:type="dxa"/>
          </w:tcPr>
          <w:p w:rsidR="00AD0BB1" w:rsidRDefault="00AD0BB1" w:rsidP="00312081">
            <w:pPr>
              <w:pStyle w:val="BodyText"/>
              <w:rPr>
                <w:lang w:val="en-US"/>
              </w:rPr>
            </w:pPr>
            <w:r>
              <w:rPr>
                <w:lang w:val="en-US"/>
              </w:rPr>
              <w:t xml:space="preserve">Total  switching time including Max TA and LBT for CA </w:t>
            </w:r>
          </w:p>
        </w:tc>
        <w:tc>
          <w:tcPr>
            <w:tcW w:w="1560" w:type="dxa"/>
          </w:tcPr>
          <w:p w:rsidR="00AD0BB1" w:rsidRDefault="00AD0BB1" w:rsidP="00C36EF0">
            <w:pPr>
              <w:pStyle w:val="BodyText"/>
              <w:jc w:val="left"/>
              <w:rPr>
                <w:lang w:val="en-US"/>
              </w:rPr>
            </w:pPr>
            <w:r>
              <w:rPr>
                <w:lang w:val="en-US"/>
              </w:rPr>
              <w:t>Total switching time including Max TA and LBT for DC</w:t>
            </w:r>
          </w:p>
        </w:tc>
      </w:tr>
      <w:tr w:rsidR="00AD0BB1" w:rsidTr="00C36EF0">
        <w:tc>
          <w:tcPr>
            <w:tcW w:w="3119" w:type="dxa"/>
          </w:tcPr>
          <w:p w:rsidR="00AD0BB1" w:rsidRDefault="00AD0BB1" w:rsidP="00C36EF0">
            <w:pPr>
              <w:pStyle w:val="BodyText"/>
              <w:rPr>
                <w:lang w:val="en-US"/>
              </w:rPr>
            </w:pPr>
            <w:r>
              <w:rPr>
                <w:lang w:val="en-US"/>
              </w:rPr>
              <w:t>Inter-band case without antenna switching</w:t>
            </w:r>
          </w:p>
        </w:tc>
        <w:tc>
          <w:tcPr>
            <w:tcW w:w="1417" w:type="dxa"/>
          </w:tcPr>
          <w:p w:rsidR="00AD0BB1" w:rsidRDefault="00AD0BB1" w:rsidP="00C36EF0">
            <w:pPr>
              <w:pStyle w:val="BodyText"/>
              <w:rPr>
                <w:lang w:val="en-US"/>
              </w:rPr>
            </w:pPr>
            <w:r>
              <w:rPr>
                <w:lang w:val="en-US"/>
              </w:rPr>
              <w:t>200</w:t>
            </w:r>
            <w:r>
              <w:rPr>
                <w:rFonts w:cs="Arial"/>
                <w:lang w:val="en-US"/>
              </w:rPr>
              <w:t>µs</w:t>
            </w:r>
          </w:p>
        </w:tc>
        <w:tc>
          <w:tcPr>
            <w:tcW w:w="1417" w:type="dxa"/>
          </w:tcPr>
          <w:p w:rsidR="00AD0BB1" w:rsidRDefault="00AD0BB1" w:rsidP="00AD0BB1">
            <w:pPr>
              <w:pStyle w:val="BodyText"/>
              <w:rPr>
                <w:lang w:val="en-US"/>
              </w:rPr>
            </w:pPr>
            <w:r>
              <w:rPr>
                <w:lang w:val="en-US"/>
              </w:rPr>
              <w:t>293.47</w:t>
            </w:r>
            <w:r>
              <w:rPr>
                <w:rFonts w:cs="Arial"/>
                <w:lang w:val="en-US"/>
              </w:rPr>
              <w:t xml:space="preserve">µs </w:t>
            </w:r>
          </w:p>
        </w:tc>
        <w:tc>
          <w:tcPr>
            <w:tcW w:w="1560" w:type="dxa"/>
          </w:tcPr>
          <w:p w:rsidR="00AD0BB1" w:rsidRDefault="00AD0BB1" w:rsidP="00AD0BB1">
            <w:pPr>
              <w:pStyle w:val="BodyText"/>
              <w:rPr>
                <w:lang w:val="en-US"/>
              </w:rPr>
            </w:pPr>
            <w:r>
              <w:rPr>
                <w:lang w:val="en-US"/>
              </w:rPr>
              <w:t>296.21</w:t>
            </w:r>
            <w:r>
              <w:rPr>
                <w:rFonts w:cs="Arial"/>
                <w:lang w:val="en-US"/>
              </w:rPr>
              <w:t>µs</w:t>
            </w:r>
          </w:p>
        </w:tc>
      </w:tr>
      <w:tr w:rsidR="00AD0BB1" w:rsidTr="00C36EF0">
        <w:tc>
          <w:tcPr>
            <w:tcW w:w="3119" w:type="dxa"/>
          </w:tcPr>
          <w:p w:rsidR="00AD0BB1" w:rsidRDefault="00AD0BB1" w:rsidP="00C36EF0">
            <w:pPr>
              <w:pStyle w:val="BodyText"/>
              <w:rPr>
                <w:lang w:val="en-US"/>
              </w:rPr>
            </w:pPr>
            <w:r>
              <w:rPr>
                <w:lang w:val="en-US"/>
              </w:rPr>
              <w:lastRenderedPageBreak/>
              <w:t>Inter-band case with antenna switching</w:t>
            </w:r>
          </w:p>
        </w:tc>
        <w:tc>
          <w:tcPr>
            <w:tcW w:w="1417" w:type="dxa"/>
          </w:tcPr>
          <w:p w:rsidR="00AD0BB1" w:rsidRDefault="00AD0BB1" w:rsidP="00C36EF0">
            <w:pPr>
              <w:pStyle w:val="BodyText"/>
              <w:rPr>
                <w:lang w:val="en-US"/>
              </w:rPr>
            </w:pPr>
            <w:r>
              <w:rPr>
                <w:lang w:val="en-US"/>
              </w:rPr>
              <w:t>230</w:t>
            </w:r>
            <w:r>
              <w:rPr>
                <w:rFonts w:cs="Arial"/>
                <w:lang w:val="en-US"/>
              </w:rPr>
              <w:t xml:space="preserve"> µs</w:t>
            </w:r>
          </w:p>
        </w:tc>
        <w:tc>
          <w:tcPr>
            <w:tcW w:w="1417" w:type="dxa"/>
          </w:tcPr>
          <w:p w:rsidR="00AD0BB1" w:rsidRDefault="00AD0BB1" w:rsidP="00AD0BB1">
            <w:pPr>
              <w:pStyle w:val="BodyText"/>
              <w:rPr>
                <w:lang w:val="en-US"/>
              </w:rPr>
            </w:pPr>
            <w:r>
              <w:rPr>
                <w:lang w:val="en-US"/>
              </w:rPr>
              <w:t>323.47</w:t>
            </w:r>
            <w:r>
              <w:rPr>
                <w:rFonts w:cs="Arial"/>
                <w:lang w:val="en-US"/>
              </w:rPr>
              <w:t>µs</w:t>
            </w:r>
          </w:p>
        </w:tc>
        <w:tc>
          <w:tcPr>
            <w:tcW w:w="1560" w:type="dxa"/>
          </w:tcPr>
          <w:p w:rsidR="00AD0BB1" w:rsidRDefault="00AD0BB1" w:rsidP="00AD0BB1">
            <w:pPr>
              <w:pStyle w:val="BodyText"/>
              <w:rPr>
                <w:lang w:val="en-US"/>
              </w:rPr>
            </w:pPr>
            <w:r>
              <w:rPr>
                <w:lang w:val="en-US"/>
              </w:rPr>
              <w:t>326.21</w:t>
            </w:r>
            <w:r>
              <w:rPr>
                <w:rFonts w:cs="Arial"/>
                <w:lang w:val="en-US"/>
              </w:rPr>
              <w:t>µs</w:t>
            </w:r>
          </w:p>
        </w:tc>
      </w:tr>
      <w:tr w:rsidR="00AD0BB1" w:rsidTr="00C36EF0">
        <w:tc>
          <w:tcPr>
            <w:tcW w:w="3119" w:type="dxa"/>
          </w:tcPr>
          <w:p w:rsidR="00AD0BB1" w:rsidRDefault="00AD0BB1" w:rsidP="00C36EF0">
            <w:pPr>
              <w:pStyle w:val="BodyText"/>
              <w:rPr>
                <w:lang w:val="en-US"/>
              </w:rPr>
            </w:pPr>
            <w:r>
              <w:rPr>
                <w:lang w:val="en-US"/>
              </w:rPr>
              <w:t>Intra-band case</w:t>
            </w:r>
          </w:p>
        </w:tc>
        <w:tc>
          <w:tcPr>
            <w:tcW w:w="1417" w:type="dxa"/>
          </w:tcPr>
          <w:p w:rsidR="00AD0BB1" w:rsidRDefault="00AD0BB1" w:rsidP="00C36EF0">
            <w:pPr>
              <w:pStyle w:val="BodyText"/>
              <w:rPr>
                <w:lang w:val="en-US"/>
              </w:rPr>
            </w:pPr>
            <w:r>
              <w:rPr>
                <w:lang w:val="en-US"/>
              </w:rPr>
              <w:t>200</w:t>
            </w:r>
            <w:r>
              <w:rPr>
                <w:rFonts w:cs="Arial"/>
                <w:lang w:val="en-US"/>
              </w:rPr>
              <w:t xml:space="preserve"> µs</w:t>
            </w:r>
          </w:p>
        </w:tc>
        <w:tc>
          <w:tcPr>
            <w:tcW w:w="1417" w:type="dxa"/>
          </w:tcPr>
          <w:p w:rsidR="00AD0BB1" w:rsidRDefault="00AD0BB1" w:rsidP="00C36EF0">
            <w:pPr>
              <w:pStyle w:val="BodyText"/>
              <w:rPr>
                <w:lang w:val="en-US"/>
              </w:rPr>
            </w:pPr>
            <w:r>
              <w:rPr>
                <w:lang w:val="en-US"/>
              </w:rPr>
              <w:t>293.47</w:t>
            </w:r>
            <w:r>
              <w:rPr>
                <w:rFonts w:cs="Arial"/>
                <w:lang w:val="en-US"/>
              </w:rPr>
              <w:t>µs</w:t>
            </w:r>
          </w:p>
        </w:tc>
        <w:tc>
          <w:tcPr>
            <w:tcW w:w="1560" w:type="dxa"/>
          </w:tcPr>
          <w:p w:rsidR="00AD0BB1" w:rsidRDefault="00AD0BB1" w:rsidP="00C36EF0">
            <w:pPr>
              <w:pStyle w:val="BodyText"/>
              <w:rPr>
                <w:lang w:val="en-US"/>
              </w:rPr>
            </w:pPr>
            <w:r>
              <w:rPr>
                <w:lang w:val="en-US"/>
              </w:rPr>
              <w:t>296.21</w:t>
            </w:r>
            <w:r>
              <w:rPr>
                <w:rFonts w:cs="Arial"/>
                <w:lang w:val="en-US"/>
              </w:rPr>
              <w:t>µs</w:t>
            </w:r>
          </w:p>
        </w:tc>
      </w:tr>
      <w:tr w:rsidR="00AD0BB1" w:rsidTr="00C36EF0">
        <w:tc>
          <w:tcPr>
            <w:tcW w:w="3119" w:type="dxa"/>
          </w:tcPr>
          <w:p w:rsidR="00AD0BB1" w:rsidRDefault="00AD0BB1" w:rsidP="00C36EF0">
            <w:pPr>
              <w:pStyle w:val="BodyText"/>
              <w:rPr>
                <w:lang w:val="en-US"/>
              </w:rPr>
            </w:pPr>
            <w:r>
              <w:rPr>
                <w:lang w:val="en-US"/>
              </w:rPr>
              <w:t>Combination of inter- and intra-band case without antenna switching</w:t>
            </w:r>
          </w:p>
        </w:tc>
        <w:tc>
          <w:tcPr>
            <w:tcW w:w="1417" w:type="dxa"/>
          </w:tcPr>
          <w:p w:rsidR="00AD0BB1" w:rsidRDefault="00AD0BB1" w:rsidP="00C36EF0">
            <w:pPr>
              <w:pStyle w:val="BodyText"/>
              <w:rPr>
                <w:lang w:val="en-US"/>
              </w:rPr>
            </w:pPr>
            <w:r>
              <w:rPr>
                <w:lang w:val="en-US"/>
              </w:rPr>
              <w:t>200</w:t>
            </w:r>
            <w:r>
              <w:rPr>
                <w:rFonts w:cs="Arial"/>
                <w:lang w:val="en-US"/>
              </w:rPr>
              <w:t xml:space="preserve"> µs</w:t>
            </w:r>
          </w:p>
        </w:tc>
        <w:tc>
          <w:tcPr>
            <w:tcW w:w="1417" w:type="dxa"/>
          </w:tcPr>
          <w:p w:rsidR="00AD0BB1" w:rsidRDefault="00AD0BB1" w:rsidP="00C36EF0">
            <w:pPr>
              <w:pStyle w:val="BodyText"/>
              <w:rPr>
                <w:lang w:val="en-US"/>
              </w:rPr>
            </w:pPr>
            <w:r>
              <w:rPr>
                <w:lang w:val="en-US"/>
              </w:rPr>
              <w:t>293.47</w:t>
            </w:r>
            <w:r>
              <w:rPr>
                <w:rFonts w:cs="Arial"/>
                <w:lang w:val="en-US"/>
              </w:rPr>
              <w:t>µs</w:t>
            </w:r>
          </w:p>
        </w:tc>
        <w:tc>
          <w:tcPr>
            <w:tcW w:w="1560" w:type="dxa"/>
          </w:tcPr>
          <w:p w:rsidR="00AD0BB1" w:rsidRDefault="00AD0BB1" w:rsidP="00C36EF0">
            <w:pPr>
              <w:pStyle w:val="BodyText"/>
              <w:rPr>
                <w:lang w:val="en-US"/>
              </w:rPr>
            </w:pPr>
            <w:r>
              <w:rPr>
                <w:lang w:val="en-US"/>
              </w:rPr>
              <w:t>296.21</w:t>
            </w:r>
            <w:r>
              <w:rPr>
                <w:rFonts w:cs="Arial"/>
                <w:lang w:val="en-US"/>
              </w:rPr>
              <w:t>µs</w:t>
            </w:r>
          </w:p>
        </w:tc>
      </w:tr>
      <w:tr w:rsidR="00AD0BB1" w:rsidTr="00C36EF0">
        <w:tc>
          <w:tcPr>
            <w:tcW w:w="3119" w:type="dxa"/>
          </w:tcPr>
          <w:p w:rsidR="00AD0BB1" w:rsidRDefault="00AD0BB1" w:rsidP="00C36EF0">
            <w:pPr>
              <w:pStyle w:val="BodyText"/>
              <w:rPr>
                <w:lang w:val="en-US"/>
              </w:rPr>
            </w:pPr>
            <w:r>
              <w:rPr>
                <w:lang w:val="en-US"/>
              </w:rPr>
              <w:t>Combination of inter- and intra-band case with antenna switching</w:t>
            </w:r>
          </w:p>
        </w:tc>
        <w:tc>
          <w:tcPr>
            <w:tcW w:w="1417" w:type="dxa"/>
          </w:tcPr>
          <w:p w:rsidR="00AD0BB1" w:rsidRDefault="00AD0BB1" w:rsidP="00C36EF0">
            <w:pPr>
              <w:pStyle w:val="BodyText"/>
              <w:rPr>
                <w:lang w:val="en-US"/>
              </w:rPr>
            </w:pPr>
            <w:r>
              <w:rPr>
                <w:lang w:val="en-US"/>
              </w:rPr>
              <w:t>230</w:t>
            </w:r>
            <w:r>
              <w:rPr>
                <w:rFonts w:cs="Arial"/>
                <w:lang w:val="en-US"/>
              </w:rPr>
              <w:t xml:space="preserve"> µs</w:t>
            </w:r>
          </w:p>
        </w:tc>
        <w:tc>
          <w:tcPr>
            <w:tcW w:w="1417" w:type="dxa"/>
          </w:tcPr>
          <w:p w:rsidR="00AD0BB1" w:rsidRDefault="00AD0BB1" w:rsidP="00C36EF0">
            <w:pPr>
              <w:pStyle w:val="BodyText"/>
              <w:rPr>
                <w:lang w:val="en-US"/>
              </w:rPr>
            </w:pPr>
            <w:r>
              <w:rPr>
                <w:lang w:val="en-US"/>
              </w:rPr>
              <w:t>323.47</w:t>
            </w:r>
            <w:r>
              <w:rPr>
                <w:rFonts w:cs="Arial"/>
                <w:lang w:val="en-US"/>
              </w:rPr>
              <w:t>µs</w:t>
            </w:r>
          </w:p>
        </w:tc>
        <w:tc>
          <w:tcPr>
            <w:tcW w:w="1560" w:type="dxa"/>
          </w:tcPr>
          <w:p w:rsidR="00AD0BB1" w:rsidRDefault="00AD0BB1" w:rsidP="00C36EF0">
            <w:pPr>
              <w:pStyle w:val="BodyText"/>
              <w:rPr>
                <w:lang w:val="en-US"/>
              </w:rPr>
            </w:pPr>
            <w:r>
              <w:rPr>
                <w:lang w:val="en-US"/>
              </w:rPr>
              <w:t>326.21</w:t>
            </w:r>
            <w:r>
              <w:rPr>
                <w:rFonts w:cs="Arial"/>
                <w:lang w:val="en-US"/>
              </w:rPr>
              <w:t>µs</w:t>
            </w:r>
          </w:p>
        </w:tc>
      </w:tr>
    </w:tbl>
    <w:p w:rsidR="00AD0BB1" w:rsidRDefault="00AD0BB1" w:rsidP="001B2388">
      <w:pPr>
        <w:rPr>
          <w:lang w:val="en-US"/>
        </w:rPr>
      </w:pPr>
    </w:p>
    <w:p w:rsidR="00C01F33" w:rsidRDefault="00C01F33" w:rsidP="00C01F33">
      <w:pPr>
        <w:pStyle w:val="Heading1"/>
        <w:rPr>
          <w:lang w:val="en-US"/>
        </w:rPr>
      </w:pPr>
      <w:r w:rsidRPr="001363CA">
        <w:rPr>
          <w:lang w:val="en-US"/>
        </w:rPr>
        <w:t>Conclusion</w:t>
      </w:r>
    </w:p>
    <w:p w:rsidR="00CF57DA" w:rsidRPr="00CF57DA" w:rsidRDefault="00CF57DA" w:rsidP="00CF57DA">
      <w:pPr>
        <w:rPr>
          <w:sz w:val="22"/>
          <w:szCs w:val="22"/>
          <w:lang w:val="en-US"/>
        </w:rPr>
      </w:pPr>
      <w:r w:rsidRPr="00CF57DA">
        <w:rPr>
          <w:sz w:val="22"/>
          <w:szCs w:val="22"/>
          <w:lang w:val="en-US"/>
        </w:rPr>
        <w:t>In this paper</w:t>
      </w:r>
      <w:r>
        <w:rPr>
          <w:sz w:val="22"/>
          <w:szCs w:val="22"/>
          <w:lang w:val="en-US"/>
        </w:rPr>
        <w:t>,</w:t>
      </w:r>
      <w:r w:rsidR="00DC49B8">
        <w:rPr>
          <w:sz w:val="22"/>
          <w:szCs w:val="22"/>
          <w:lang w:val="en-US"/>
        </w:rPr>
        <w:t xml:space="preserve"> </w:t>
      </w:r>
      <w:r w:rsidR="001B2388">
        <w:rPr>
          <w:sz w:val="22"/>
          <w:szCs w:val="22"/>
          <w:lang w:val="en-US"/>
        </w:rPr>
        <w:t xml:space="preserve">we presented a number of UE challenges when SRS carrier based switching is used for TDD carriers. </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4D36B1" w:rsidRPr="00253E53" w:rsidRDefault="00253E53" w:rsidP="00253E53">
      <w:pPr>
        <w:pStyle w:val="Reference"/>
        <w:rPr>
          <w:sz w:val="22"/>
          <w:szCs w:val="22"/>
          <w:lang w:val="en-US"/>
        </w:rPr>
      </w:pPr>
      <w:bookmarkStart w:id="4" w:name="_Ref174151459"/>
      <w:bookmarkStart w:id="5" w:name="_Ref189809556"/>
      <w:bookmarkStart w:id="6"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4"/>
      <w:r w:rsidR="00DC49B8" w:rsidRPr="00253E53">
        <w:rPr>
          <w:sz w:val="22"/>
          <w:szCs w:val="22"/>
          <w:lang w:val="en-US"/>
        </w:rPr>
        <w:t xml:space="preserve"> </w:t>
      </w:r>
      <w:r w:rsidRPr="00253E53">
        <w:rPr>
          <w:lang w:val="en-US"/>
        </w:rPr>
        <w:t xml:space="preserve">Huawei, </w:t>
      </w:r>
      <w:proofErr w:type="spellStart"/>
      <w:r w:rsidRPr="00253E53">
        <w:rPr>
          <w:lang w:val="en-US"/>
        </w:rPr>
        <w:t>HiSilicon</w:t>
      </w:r>
      <w:bookmarkEnd w:id="5"/>
      <w:proofErr w:type="spellEnd"/>
      <w:r w:rsidR="00DD7794">
        <w:rPr>
          <w:lang w:val="en-US"/>
        </w:rPr>
        <w:t xml:space="preserve">, </w:t>
      </w:r>
      <w:r w:rsidRPr="00253E53">
        <w:rPr>
          <w:rFonts w:cs="Arial"/>
          <w:sz w:val="22"/>
          <w:szCs w:val="22"/>
          <w:lang w:val="en-US"/>
        </w:rPr>
        <w:t xml:space="preserve">3GPP TSG RAN Meeting #71, </w:t>
      </w:r>
      <w:proofErr w:type="spellStart"/>
      <w:r w:rsidRPr="00253E53">
        <w:rPr>
          <w:rFonts w:cs="Arial"/>
          <w:sz w:val="22"/>
          <w:szCs w:val="22"/>
          <w:lang w:val="en-US"/>
        </w:rPr>
        <w:t>Göteborg</w:t>
      </w:r>
      <w:proofErr w:type="spellEnd"/>
      <w:r w:rsidRPr="00253E53">
        <w:rPr>
          <w:rFonts w:cs="Arial"/>
          <w:sz w:val="22"/>
          <w:szCs w:val="22"/>
          <w:lang w:val="en-US"/>
        </w:rPr>
        <w:t>, Sweden, March 7 - 10, 2016</w:t>
      </w:r>
      <w:bookmarkEnd w:id="6"/>
    </w:p>
    <w:p w:rsidR="00DD7794" w:rsidRDefault="00DD7794" w:rsidP="00DD7794">
      <w:pPr>
        <w:pStyle w:val="Reference"/>
        <w:rPr>
          <w:sz w:val="22"/>
          <w:szCs w:val="22"/>
          <w:lang w:val="en-US"/>
        </w:rPr>
      </w:pPr>
      <w:bookmarkStart w:id="7" w:name="_Ref450844166"/>
      <w:r w:rsidRPr="00365D6E">
        <w:rPr>
          <w:sz w:val="22"/>
          <w:szCs w:val="22"/>
          <w:lang w:val="en-US"/>
        </w:rPr>
        <w:t xml:space="preserve">R4-164222, </w:t>
      </w:r>
      <w:r w:rsidRPr="000144B3">
        <w:rPr>
          <w:sz w:val="22"/>
          <w:szCs w:val="22"/>
          <w:lang w:val="en-US"/>
        </w:rPr>
        <w:t>“Scenarios for SRS carrier based switching for LTE”, Ericsson</w:t>
      </w:r>
      <w:bookmarkEnd w:id="7"/>
    </w:p>
    <w:p w:rsidR="000144B3" w:rsidRDefault="000144B3" w:rsidP="000144B3">
      <w:pPr>
        <w:pStyle w:val="Reference"/>
        <w:rPr>
          <w:sz w:val="22"/>
          <w:szCs w:val="22"/>
          <w:lang w:val="sv-SE"/>
        </w:rPr>
      </w:pPr>
      <w:bookmarkStart w:id="8" w:name="_Ref450844429"/>
      <w:r w:rsidRPr="000144B3">
        <w:rPr>
          <w:sz w:val="22"/>
          <w:szCs w:val="22"/>
          <w:lang w:val="sv-SE"/>
        </w:rPr>
        <w:t>3G</w:t>
      </w:r>
      <w:r>
        <w:rPr>
          <w:sz w:val="22"/>
          <w:szCs w:val="22"/>
          <w:lang w:val="sv-SE"/>
        </w:rPr>
        <w:t>PP TS 36.101 V13.3.0 (2016-03)</w:t>
      </w:r>
      <w:bookmarkEnd w:id="8"/>
    </w:p>
    <w:p w:rsidR="00112552" w:rsidRDefault="00112552" w:rsidP="00112552">
      <w:pPr>
        <w:pStyle w:val="Reference"/>
        <w:rPr>
          <w:lang w:val="en-US"/>
        </w:rPr>
      </w:pPr>
      <w:bookmarkStart w:id="9" w:name="_Ref450907111"/>
      <w:r>
        <w:rPr>
          <w:lang w:val="en-US"/>
        </w:rPr>
        <w:t>R1-165154, On Channel Access Procedures for PRACH and SRS, Ericsson</w:t>
      </w:r>
      <w:bookmarkEnd w:id="9"/>
    </w:p>
    <w:p w:rsidR="00112552" w:rsidRDefault="00112552" w:rsidP="00112552">
      <w:pPr>
        <w:pStyle w:val="Reference"/>
        <w:rPr>
          <w:lang w:val="en-US"/>
        </w:rPr>
      </w:pPr>
      <w:bookmarkStart w:id="10" w:name="_Ref450908013"/>
      <w:r>
        <w:rPr>
          <w:lang w:val="en-US"/>
        </w:rPr>
        <w:t>R1-165157, On UL Channel Access Procedures, Ericsson</w:t>
      </w:r>
      <w:bookmarkEnd w:id="10"/>
    </w:p>
    <w:p w:rsidR="00112552" w:rsidRPr="00FB4264" w:rsidRDefault="00112552" w:rsidP="00FB4264">
      <w:pPr>
        <w:pStyle w:val="Reference"/>
        <w:numPr>
          <w:ilvl w:val="0"/>
          <w:numId w:val="0"/>
        </w:numPr>
        <w:ind w:left="567"/>
        <w:rPr>
          <w:sz w:val="22"/>
          <w:szCs w:val="22"/>
          <w:lang w:val="en-US"/>
        </w:rPr>
      </w:pPr>
    </w:p>
    <w:sectPr w:rsidR="00112552" w:rsidRPr="00FB426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DB2" w:rsidRDefault="00CF1DB2">
      <w:r>
        <w:separator/>
      </w:r>
    </w:p>
  </w:endnote>
  <w:endnote w:type="continuationSeparator" w:id="0">
    <w:p w:rsidR="00CF1DB2" w:rsidRDefault="00CF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6ED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6ED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DB2" w:rsidRDefault="00CF1DB2">
      <w:r>
        <w:separator/>
      </w:r>
    </w:p>
  </w:footnote>
  <w:footnote w:type="continuationSeparator" w:id="0">
    <w:p w:rsidR="00CF1DB2" w:rsidRDefault="00CF1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4E80900"/>
    <w:lvl w:ilvl="0">
      <w:start w:val="1"/>
      <w:numFmt w:val="decimal"/>
      <w:lvlText w:val="%1."/>
      <w:lvlJc w:val="left"/>
      <w:pPr>
        <w:tabs>
          <w:tab w:val="num" w:pos="1492"/>
        </w:tabs>
        <w:ind w:left="1492" w:hanging="360"/>
      </w:pPr>
    </w:lvl>
  </w:abstractNum>
  <w:abstractNum w:abstractNumId="1">
    <w:nsid w:val="FFFFFF7D"/>
    <w:multiLevelType w:val="singleLevel"/>
    <w:tmpl w:val="CC347B42"/>
    <w:lvl w:ilvl="0">
      <w:start w:val="1"/>
      <w:numFmt w:val="decimal"/>
      <w:lvlText w:val="%1."/>
      <w:lvlJc w:val="left"/>
      <w:pPr>
        <w:tabs>
          <w:tab w:val="num" w:pos="1209"/>
        </w:tabs>
        <w:ind w:left="1209" w:hanging="360"/>
      </w:pPr>
    </w:lvl>
  </w:abstractNum>
  <w:abstractNum w:abstractNumId="2">
    <w:nsid w:val="FFFFFF7E"/>
    <w:multiLevelType w:val="singleLevel"/>
    <w:tmpl w:val="BFDE63F2"/>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1"/>
  </w:num>
  <w:num w:numId="4">
    <w:abstractNumId w:val="22"/>
  </w:num>
  <w:num w:numId="5">
    <w:abstractNumId w:val="15"/>
  </w:num>
  <w:num w:numId="6">
    <w:abstractNumId w:val="24"/>
  </w:num>
  <w:num w:numId="7">
    <w:abstractNumId w:val="28"/>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0"/>
  </w:num>
  <w:num w:numId="17">
    <w:abstractNumId w:val="31"/>
  </w:num>
  <w:num w:numId="18">
    <w:abstractNumId w:val="33"/>
  </w:num>
  <w:num w:numId="19">
    <w:abstractNumId w:val="29"/>
  </w:num>
  <w:num w:numId="20">
    <w:abstractNumId w:val="19"/>
  </w:num>
  <w:num w:numId="21">
    <w:abstractNumId w:val="27"/>
  </w:num>
  <w:num w:numId="22">
    <w:abstractNumId w:val="23"/>
  </w:num>
  <w:num w:numId="23">
    <w:abstractNumId w:val="7"/>
  </w:num>
  <w:num w:numId="24">
    <w:abstractNumId w:val="34"/>
  </w:num>
  <w:num w:numId="25">
    <w:abstractNumId w:val="6"/>
  </w:num>
  <w:num w:numId="26">
    <w:abstractNumId w:val="25"/>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2"/>
  </w:num>
  <w:num w:numId="35">
    <w:abstractNumId w:val="26"/>
  </w:num>
  <w:num w:numId="36">
    <w:abstractNumId w:val="35"/>
  </w:num>
  <w:num w:numId="37">
    <w:abstractNumId w:val="12"/>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4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2917"/>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5C89"/>
    <w:rsid w:val="000B61E9"/>
    <w:rsid w:val="000C165A"/>
    <w:rsid w:val="000C2E19"/>
    <w:rsid w:val="000C46D5"/>
    <w:rsid w:val="000D0D07"/>
    <w:rsid w:val="000D4797"/>
    <w:rsid w:val="000D627C"/>
    <w:rsid w:val="000E0527"/>
    <w:rsid w:val="000E1E92"/>
    <w:rsid w:val="000E5BBE"/>
    <w:rsid w:val="000F06D6"/>
    <w:rsid w:val="000F0EB1"/>
    <w:rsid w:val="000F1106"/>
    <w:rsid w:val="000F3BE9"/>
    <w:rsid w:val="000F3F6C"/>
    <w:rsid w:val="000F4212"/>
    <w:rsid w:val="000F6DF3"/>
    <w:rsid w:val="000F7742"/>
    <w:rsid w:val="001005FF"/>
    <w:rsid w:val="00103BD6"/>
    <w:rsid w:val="001062FB"/>
    <w:rsid w:val="001063E6"/>
    <w:rsid w:val="00112552"/>
    <w:rsid w:val="00112F35"/>
    <w:rsid w:val="00113CF4"/>
    <w:rsid w:val="001153EA"/>
    <w:rsid w:val="00115643"/>
    <w:rsid w:val="00115F11"/>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2388"/>
    <w:rsid w:val="001B5A5D"/>
    <w:rsid w:val="001C0955"/>
    <w:rsid w:val="001C1CE5"/>
    <w:rsid w:val="001C3027"/>
    <w:rsid w:val="001C3D2A"/>
    <w:rsid w:val="001C4F57"/>
    <w:rsid w:val="001D51BA"/>
    <w:rsid w:val="001D6342"/>
    <w:rsid w:val="001D6D53"/>
    <w:rsid w:val="001D7E2C"/>
    <w:rsid w:val="001E58E2"/>
    <w:rsid w:val="001E5C2B"/>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72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223"/>
    <w:rsid w:val="002A055E"/>
    <w:rsid w:val="002A1D4E"/>
    <w:rsid w:val="002A2869"/>
    <w:rsid w:val="002B1119"/>
    <w:rsid w:val="002B24D6"/>
    <w:rsid w:val="002B33DF"/>
    <w:rsid w:val="002C41E6"/>
    <w:rsid w:val="002D071A"/>
    <w:rsid w:val="002D34B2"/>
    <w:rsid w:val="002D7637"/>
    <w:rsid w:val="002E17F2"/>
    <w:rsid w:val="002E7CAE"/>
    <w:rsid w:val="002F2771"/>
    <w:rsid w:val="002F37A9"/>
    <w:rsid w:val="002F57A0"/>
    <w:rsid w:val="00301CE6"/>
    <w:rsid w:val="0030256B"/>
    <w:rsid w:val="00304492"/>
    <w:rsid w:val="0030501F"/>
    <w:rsid w:val="00307BA1"/>
    <w:rsid w:val="00311702"/>
    <w:rsid w:val="00311E82"/>
    <w:rsid w:val="00312081"/>
    <w:rsid w:val="003133BF"/>
    <w:rsid w:val="00313FD6"/>
    <w:rsid w:val="003143BD"/>
    <w:rsid w:val="003203ED"/>
    <w:rsid w:val="00321795"/>
    <w:rsid w:val="00322C9F"/>
    <w:rsid w:val="00324D23"/>
    <w:rsid w:val="0032670E"/>
    <w:rsid w:val="00331751"/>
    <w:rsid w:val="00334579"/>
    <w:rsid w:val="00335858"/>
    <w:rsid w:val="00336BDA"/>
    <w:rsid w:val="00342BD7"/>
    <w:rsid w:val="00346DB5"/>
    <w:rsid w:val="003477B1"/>
    <w:rsid w:val="00357380"/>
    <w:rsid w:val="003602D9"/>
    <w:rsid w:val="003604CE"/>
    <w:rsid w:val="00365D6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4249"/>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C26"/>
    <w:rsid w:val="00433AF3"/>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781"/>
    <w:rsid w:val="005219CF"/>
    <w:rsid w:val="005270CC"/>
    <w:rsid w:val="00534B59"/>
    <w:rsid w:val="00536759"/>
    <w:rsid w:val="00537C62"/>
    <w:rsid w:val="00546970"/>
    <w:rsid w:val="00550C36"/>
    <w:rsid w:val="005536C2"/>
    <w:rsid w:val="00554699"/>
    <w:rsid w:val="00554E19"/>
    <w:rsid w:val="0056121F"/>
    <w:rsid w:val="00572505"/>
    <w:rsid w:val="00582809"/>
    <w:rsid w:val="0058798C"/>
    <w:rsid w:val="005900FA"/>
    <w:rsid w:val="005935A4"/>
    <w:rsid w:val="005948C2"/>
    <w:rsid w:val="00595DCA"/>
    <w:rsid w:val="00596666"/>
    <w:rsid w:val="0059779B"/>
    <w:rsid w:val="005A209A"/>
    <w:rsid w:val="005A553E"/>
    <w:rsid w:val="005A662D"/>
    <w:rsid w:val="005B126D"/>
    <w:rsid w:val="005B35D7"/>
    <w:rsid w:val="005B392A"/>
    <w:rsid w:val="005B3AA3"/>
    <w:rsid w:val="005B6476"/>
    <w:rsid w:val="005B6F83"/>
    <w:rsid w:val="005C67DB"/>
    <w:rsid w:val="005C70CE"/>
    <w:rsid w:val="005C74FB"/>
    <w:rsid w:val="005D1602"/>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3E2"/>
    <w:rsid w:val="00696949"/>
    <w:rsid w:val="00697052"/>
    <w:rsid w:val="006A46FB"/>
    <w:rsid w:val="006A49A5"/>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190F"/>
    <w:rsid w:val="007F7DCF"/>
    <w:rsid w:val="00803FAE"/>
    <w:rsid w:val="00805DC4"/>
    <w:rsid w:val="0080605F"/>
    <w:rsid w:val="0080697A"/>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025"/>
    <w:rsid w:val="008444E8"/>
    <w:rsid w:val="00844E80"/>
    <w:rsid w:val="00846FE7"/>
    <w:rsid w:val="00856911"/>
    <w:rsid w:val="00865524"/>
    <w:rsid w:val="008677FD"/>
    <w:rsid w:val="00867A7D"/>
    <w:rsid w:val="008706D4"/>
    <w:rsid w:val="00870F8A"/>
    <w:rsid w:val="008719A4"/>
    <w:rsid w:val="00871D23"/>
    <w:rsid w:val="00874312"/>
    <w:rsid w:val="0087437C"/>
    <w:rsid w:val="008755C4"/>
    <w:rsid w:val="00875CD7"/>
    <w:rsid w:val="00876B4D"/>
    <w:rsid w:val="00877F18"/>
    <w:rsid w:val="00881F2F"/>
    <w:rsid w:val="00887B46"/>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7E2A"/>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4152"/>
    <w:rsid w:val="0095681E"/>
    <w:rsid w:val="009572D4"/>
    <w:rsid w:val="00961921"/>
    <w:rsid w:val="0096430A"/>
    <w:rsid w:val="0096477F"/>
    <w:rsid w:val="0096554B"/>
    <w:rsid w:val="0096584A"/>
    <w:rsid w:val="00971F08"/>
    <w:rsid w:val="0097603D"/>
    <w:rsid w:val="00976949"/>
    <w:rsid w:val="00980477"/>
    <w:rsid w:val="00984671"/>
    <w:rsid w:val="00985253"/>
    <w:rsid w:val="009853B3"/>
    <w:rsid w:val="00990630"/>
    <w:rsid w:val="00991761"/>
    <w:rsid w:val="00994DCA"/>
    <w:rsid w:val="009960EC"/>
    <w:rsid w:val="009970DD"/>
    <w:rsid w:val="009A0FBA"/>
    <w:rsid w:val="009A1601"/>
    <w:rsid w:val="009A4514"/>
    <w:rsid w:val="009A462D"/>
    <w:rsid w:val="009A5CBA"/>
    <w:rsid w:val="009B1F30"/>
    <w:rsid w:val="009B3AC2"/>
    <w:rsid w:val="009B497B"/>
    <w:rsid w:val="009B4DF4"/>
    <w:rsid w:val="009B564E"/>
    <w:rsid w:val="009B7E87"/>
    <w:rsid w:val="009C0D4F"/>
    <w:rsid w:val="009C403E"/>
    <w:rsid w:val="009D1E33"/>
    <w:rsid w:val="009D4FF0"/>
    <w:rsid w:val="009D703C"/>
    <w:rsid w:val="009D718F"/>
    <w:rsid w:val="009E068F"/>
    <w:rsid w:val="009E14E0"/>
    <w:rsid w:val="009E35DB"/>
    <w:rsid w:val="009E47A3"/>
    <w:rsid w:val="009F08F3"/>
    <w:rsid w:val="009F344F"/>
    <w:rsid w:val="00A048A8"/>
    <w:rsid w:val="00A101F1"/>
    <w:rsid w:val="00A13E54"/>
    <w:rsid w:val="00A16C26"/>
    <w:rsid w:val="00A17F63"/>
    <w:rsid w:val="00A2193B"/>
    <w:rsid w:val="00A2351A"/>
    <w:rsid w:val="00A264A9"/>
    <w:rsid w:val="00A27785"/>
    <w:rsid w:val="00A30187"/>
    <w:rsid w:val="00A33D5C"/>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5B2"/>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B1"/>
    <w:rsid w:val="00AD2642"/>
    <w:rsid w:val="00AD38BA"/>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3449"/>
    <w:rsid w:val="00B05084"/>
    <w:rsid w:val="00B12A07"/>
    <w:rsid w:val="00B157F9"/>
    <w:rsid w:val="00B20256"/>
    <w:rsid w:val="00B20D09"/>
    <w:rsid w:val="00B26EDF"/>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4A1"/>
    <w:rsid w:val="00BA2A08"/>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7561"/>
    <w:rsid w:val="00CE788A"/>
    <w:rsid w:val="00CF1354"/>
    <w:rsid w:val="00CF1DB2"/>
    <w:rsid w:val="00CF3B1F"/>
    <w:rsid w:val="00CF3BF6"/>
    <w:rsid w:val="00CF57DA"/>
    <w:rsid w:val="00CF625B"/>
    <w:rsid w:val="00CF687E"/>
    <w:rsid w:val="00D0349B"/>
    <w:rsid w:val="00D10249"/>
    <w:rsid w:val="00D115C3"/>
    <w:rsid w:val="00D11897"/>
    <w:rsid w:val="00D13135"/>
    <w:rsid w:val="00D13571"/>
    <w:rsid w:val="00D13E4E"/>
    <w:rsid w:val="00D15D2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54"/>
    <w:rsid w:val="00D708B0"/>
    <w:rsid w:val="00D70FCF"/>
    <w:rsid w:val="00D77B1D"/>
    <w:rsid w:val="00D8021F"/>
    <w:rsid w:val="00D80383"/>
    <w:rsid w:val="00D823C6"/>
    <w:rsid w:val="00D869E1"/>
    <w:rsid w:val="00D86CA3"/>
    <w:rsid w:val="00D871CE"/>
    <w:rsid w:val="00D9196D"/>
    <w:rsid w:val="00D92982"/>
    <w:rsid w:val="00D92FC5"/>
    <w:rsid w:val="00D95C04"/>
    <w:rsid w:val="00DA305E"/>
    <w:rsid w:val="00DA5417"/>
    <w:rsid w:val="00DA56E8"/>
    <w:rsid w:val="00DB0009"/>
    <w:rsid w:val="00DB27F0"/>
    <w:rsid w:val="00DB377D"/>
    <w:rsid w:val="00DC2D36"/>
    <w:rsid w:val="00DC4220"/>
    <w:rsid w:val="00DC49B8"/>
    <w:rsid w:val="00DC53EF"/>
    <w:rsid w:val="00DC6A6D"/>
    <w:rsid w:val="00DD5DFE"/>
    <w:rsid w:val="00DD7794"/>
    <w:rsid w:val="00DE35AD"/>
    <w:rsid w:val="00DE5608"/>
    <w:rsid w:val="00DE582F"/>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50DD"/>
    <w:rsid w:val="00E46886"/>
    <w:rsid w:val="00E47AEF"/>
    <w:rsid w:val="00E53B75"/>
    <w:rsid w:val="00E54E3B"/>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203"/>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E4D9A"/>
    <w:rsid w:val="00EF18FE"/>
    <w:rsid w:val="00EF5787"/>
    <w:rsid w:val="00EF60D0"/>
    <w:rsid w:val="00F02717"/>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51FE"/>
    <w:rsid w:val="00F95EE3"/>
    <w:rsid w:val="00F96985"/>
    <w:rsid w:val="00F97838"/>
    <w:rsid w:val="00FA2BB3"/>
    <w:rsid w:val="00FB4264"/>
    <w:rsid w:val="00FB4C80"/>
    <w:rsid w:val="00FB528C"/>
    <w:rsid w:val="00FB52F6"/>
    <w:rsid w:val="00FB6A6A"/>
    <w:rsid w:val="00FC5AC7"/>
    <w:rsid w:val="00FC7429"/>
    <w:rsid w:val="00FD07F6"/>
    <w:rsid w:val="00FD1EC8"/>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0547">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2218165">
      <w:bodyDiv w:val="1"/>
      <w:marLeft w:val="0"/>
      <w:marRight w:val="0"/>
      <w:marTop w:val="0"/>
      <w:marBottom w:val="0"/>
      <w:divBdr>
        <w:top w:val="none" w:sz="0" w:space="0" w:color="auto"/>
        <w:left w:val="none" w:sz="0" w:space="0" w:color="auto"/>
        <w:bottom w:val="none" w:sz="0" w:space="0" w:color="auto"/>
        <w:right w:val="none" w:sz="0" w:space="0" w:color="auto"/>
      </w:divBdr>
    </w:div>
    <w:div w:id="463471977">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1884820">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EF6BE-586F-4767-8BA9-EFAFF545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27</TotalTime>
  <Pages>4</Pages>
  <Words>1326</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2016-05-13T10:34:00Z</dcterms:created>
  <dcterms:modified xsi:type="dcterms:W3CDTF">2016-05-13T20:40:00Z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